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left"/>
        <w:rPr>
          <w:rFonts w:ascii="Times New Roman" w:hAnsi="Times New Roman" w:cs="Times New Roman"/>
          <w:color w:val="000000"/>
          <w:sz w:val="24"/>
          <w:szCs w:val="24"/>
        </w:rPr>
      </w:pPr>
      <w:r>
        <w:rPr>
          <w:rFonts w:ascii="Times New Roman" w:hAnsi="Times New Roman" w:cs="Times New Roman"/>
          <w:sz w:val="24"/>
          <w:szCs w:val="24"/>
        </w:rPr>
        <w:t>证券代码：603568       证券简称：伟明环保       公告编号：</w:t>
      </w:r>
      <w:r>
        <w:rPr>
          <w:rFonts w:ascii="Times New Roman" w:hAnsi="Times New Roman" w:cs="Times New Roman"/>
          <w:color w:val="000000"/>
          <w:sz w:val="24"/>
          <w:szCs w:val="24"/>
        </w:rPr>
        <w:t>临201</w:t>
      </w:r>
      <w:r>
        <w:rPr>
          <w:rFonts w:hint="eastAsia" w:ascii="Times New Roman" w:hAnsi="Times New Roman" w:cs="Times New Roman"/>
          <w:color w:val="000000"/>
          <w:sz w:val="24"/>
          <w:szCs w:val="24"/>
          <w:lang w:val="en-US" w:eastAsia="zh-CN"/>
        </w:rPr>
        <w:t>8</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0</w:t>
      </w:r>
      <w:r>
        <w:rPr>
          <w:rFonts w:hint="eastAsia" w:ascii="Times New Roman" w:hAnsi="Times New Roman" w:cs="Times New Roman"/>
          <w:color w:val="000000"/>
          <w:sz w:val="24"/>
          <w:szCs w:val="24"/>
          <w:lang w:val="en-US" w:eastAsia="zh-CN"/>
        </w:rPr>
        <w:t>03</w:t>
      </w:r>
    </w:p>
    <w:p>
      <w:pPr>
        <w:spacing w:line="360" w:lineRule="auto"/>
        <w:rPr>
          <w:rFonts w:ascii="宋体" w:hAnsi="宋体" w:eastAsia="宋体"/>
          <w:b/>
          <w:sz w:val="28"/>
          <w:szCs w:val="28"/>
        </w:rPr>
      </w:pPr>
      <w:bookmarkStart w:id="2" w:name="_GoBack"/>
      <w:bookmarkEnd w:id="2"/>
    </w:p>
    <w:p>
      <w:pPr>
        <w:pStyle w:val="4"/>
        <w:spacing w:line="360" w:lineRule="auto"/>
        <w:jc w:val="center"/>
        <w:rPr>
          <w:rFonts w:ascii="宋体" w:cs="宋体"/>
          <w:color w:val="000000"/>
          <w:kern w:val="0"/>
          <w:sz w:val="24"/>
        </w:rPr>
      </w:pPr>
      <w:r>
        <w:rPr>
          <w:rFonts w:hint="eastAsia" w:ascii="黑体" w:hAnsi="黑体" w:eastAsia="黑体" w:cs="黑体"/>
          <w:b/>
          <w:bCs/>
          <w:color w:val="FF0000"/>
          <w:kern w:val="0"/>
          <w:sz w:val="36"/>
          <w:szCs w:val="36"/>
        </w:rPr>
        <w:t>浙江伟明环保股份有限公司</w:t>
      </w:r>
      <w:bookmarkStart w:id="0" w:name="OLE_LINK1"/>
      <w:bookmarkStart w:id="1" w:name="OLE_LINK2"/>
    </w:p>
    <w:p>
      <w:pPr>
        <w:pStyle w:val="4"/>
        <w:spacing w:line="360" w:lineRule="auto"/>
        <w:jc w:val="center"/>
        <w:rPr>
          <w:rFonts w:ascii="黑体" w:hAnsi="黑体" w:eastAsia="黑体" w:cs="黑体"/>
          <w:b/>
          <w:bCs/>
          <w:color w:val="FF0000"/>
          <w:kern w:val="0"/>
          <w:sz w:val="36"/>
          <w:szCs w:val="36"/>
        </w:rPr>
      </w:pPr>
      <w:r>
        <w:rPr>
          <w:rFonts w:hint="eastAsia" w:ascii="黑体" w:hAnsi="黑体" w:eastAsia="黑体" w:cs="黑体"/>
          <w:b/>
          <w:bCs/>
          <w:color w:val="FF0000"/>
          <w:kern w:val="0"/>
          <w:sz w:val="36"/>
          <w:szCs w:val="36"/>
        </w:rPr>
        <w:t>关于限制性股票激励计划预留部分授予结果公告</w:t>
      </w:r>
    </w:p>
    <w:bookmarkEnd w:id="0"/>
    <w:bookmarkEnd w:id="1"/>
    <w:p>
      <w:pPr>
        <w:snapToGrid w:val="0"/>
        <w:spacing w:before="156" w:beforeLines="50" w:line="360" w:lineRule="auto"/>
        <w:jc w:val="center"/>
        <w:rPr>
          <w:color w:val="000000"/>
        </w:rPr>
      </w:pPr>
    </w:p>
    <w:p>
      <w:pPr>
        <w:pBdr>
          <w:top w:val="single" w:color="auto" w:sz="4" w:space="1"/>
          <w:left w:val="single" w:color="auto" w:sz="4" w:space="4"/>
          <w:bottom w:val="single" w:color="auto" w:sz="4" w:space="1"/>
          <w:right w:val="single" w:color="auto" w:sz="4" w:space="4"/>
        </w:pBdr>
        <w:adjustRightInd w:val="0"/>
        <w:snapToGrid w:val="0"/>
        <w:spacing w:before="156" w:beforeLines="50" w:after="156" w:afterLines="50" w:line="360" w:lineRule="auto"/>
        <w:ind w:firstLine="480" w:firstLineChars="200"/>
        <w:rPr>
          <w:color w:val="000000"/>
          <w:sz w:val="24"/>
          <w:szCs w:val="24"/>
        </w:rPr>
      </w:pPr>
      <w:r>
        <w:rPr>
          <w:color w:val="000000"/>
          <w:sz w:val="24"/>
          <w:szCs w:val="24"/>
        </w:rPr>
        <w:t>本公司董事会及全体董事保证本公告内容不存在任何虚假记载、误导性陈述或者重大遗漏，并对其内容的真实性、准确性和完整性承担个别及连带责任。</w:t>
      </w:r>
    </w:p>
    <w:p>
      <w:pPr>
        <w:spacing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重要内容提示：</w:t>
      </w:r>
    </w:p>
    <w:p>
      <w:pPr>
        <w:pStyle w:val="20"/>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预留部分</w:t>
      </w:r>
      <w:r>
        <w:rPr>
          <w:rFonts w:ascii="Times New Roman" w:hAnsi="Times New Roman" w:eastAsia="宋体" w:cs="Times New Roman"/>
          <w:sz w:val="24"/>
          <w:szCs w:val="24"/>
        </w:rPr>
        <w:t>限制性股票</w:t>
      </w:r>
      <w:r>
        <w:rPr>
          <w:rFonts w:hint="eastAsia" w:ascii="Times New Roman" w:hAnsi="Times New Roman" w:eastAsia="宋体" w:cs="Times New Roman"/>
          <w:sz w:val="24"/>
          <w:szCs w:val="24"/>
        </w:rPr>
        <w:t>授予登记日</w:t>
      </w:r>
      <w:r>
        <w:rPr>
          <w:rFonts w:ascii="Times New Roman" w:hAnsi="Times New Roman" w:eastAsia="宋体" w:cs="Times New Roman"/>
          <w:sz w:val="24"/>
          <w:szCs w:val="24"/>
        </w:rPr>
        <w:t>：201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9</w:t>
      </w:r>
      <w:r>
        <w:rPr>
          <w:rFonts w:ascii="Times New Roman" w:hAnsi="Times New Roman" w:eastAsia="宋体" w:cs="Times New Roman"/>
          <w:sz w:val="24"/>
          <w:szCs w:val="24"/>
        </w:rPr>
        <w:t>日</w:t>
      </w:r>
    </w:p>
    <w:p>
      <w:pPr>
        <w:pStyle w:val="20"/>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预留部分</w:t>
      </w:r>
      <w:r>
        <w:rPr>
          <w:rFonts w:ascii="Times New Roman" w:hAnsi="Times New Roman" w:eastAsia="宋体" w:cs="Times New Roman"/>
          <w:sz w:val="24"/>
          <w:szCs w:val="24"/>
        </w:rPr>
        <w:t>限制性股票</w:t>
      </w:r>
      <w:r>
        <w:rPr>
          <w:rFonts w:hint="eastAsia" w:ascii="Times New Roman" w:hAnsi="Times New Roman" w:eastAsia="宋体" w:cs="Times New Roman"/>
          <w:sz w:val="24"/>
          <w:szCs w:val="24"/>
        </w:rPr>
        <w:t>授予</w:t>
      </w:r>
      <w:r>
        <w:rPr>
          <w:rFonts w:ascii="Times New Roman" w:hAnsi="Times New Roman" w:eastAsia="宋体" w:cs="Times New Roman"/>
          <w:sz w:val="24"/>
          <w:szCs w:val="24"/>
        </w:rPr>
        <w:t>登记数量：</w:t>
      </w:r>
      <w:r>
        <w:rPr>
          <w:rFonts w:hint="eastAsia" w:ascii="Times New Roman" w:hAnsi="Times New Roman" w:eastAsia="宋体" w:cs="Times New Roman"/>
          <w:sz w:val="24"/>
          <w:szCs w:val="24"/>
        </w:rPr>
        <w:t>60</w:t>
      </w:r>
      <w:r>
        <w:rPr>
          <w:rFonts w:ascii="Times New Roman" w:hAnsi="Times New Roman" w:eastAsia="宋体" w:cs="Times New Roman"/>
          <w:sz w:val="24"/>
          <w:szCs w:val="24"/>
        </w:rPr>
        <w:t>万股</w:t>
      </w:r>
    </w:p>
    <w:p>
      <w:pPr>
        <w:pStyle w:val="20"/>
        <w:spacing w:line="360" w:lineRule="auto"/>
        <w:ind w:left="900" w:firstLine="0" w:firstLineChars="0"/>
        <w:rPr>
          <w:rFonts w:ascii="Times New Roman" w:hAnsi="Times New Roman" w:eastAsia="宋体" w:cs="Times New Roman"/>
          <w:sz w:val="24"/>
          <w:szCs w:val="24"/>
        </w:rPr>
      </w:pP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根据中国证监会、上海证券交易所、中国证券登记结算有限责任公司上海分公司（以下简称“中证登上海分公司”）有关规则的规定，浙江伟明环保股份有限公司（以下简称“公司”）完成了《浙江伟明环保股份有限公司2017年限制性股票激励计划》涉及的预留部分限制性股票的授予登记工作，现将有关情况公告如下：</w:t>
      </w:r>
    </w:p>
    <w:p>
      <w:pPr>
        <w:pStyle w:val="8"/>
        <w:spacing w:line="360" w:lineRule="auto"/>
        <w:ind w:firstLine="482" w:firstLineChars="200"/>
        <w:jc w:val="left"/>
        <w:rPr>
          <w:sz w:val="24"/>
          <w:szCs w:val="24"/>
        </w:rPr>
      </w:pPr>
      <w:r>
        <w:rPr>
          <w:rFonts w:hint="eastAsia"/>
          <w:sz w:val="24"/>
          <w:szCs w:val="24"/>
        </w:rPr>
        <w:t>一、预留部分限制性股票授予情况</w:t>
      </w:r>
    </w:p>
    <w:p>
      <w:pPr>
        <w:spacing w:line="360" w:lineRule="auto"/>
        <w:ind w:firstLine="643"/>
        <w:rPr>
          <w:rFonts w:ascii="Times New Roman" w:hAnsi="Times New Roman" w:eastAsia="宋体" w:cs="Times New Roman"/>
          <w:sz w:val="24"/>
          <w:szCs w:val="24"/>
        </w:rPr>
      </w:pPr>
      <w:r>
        <w:rPr>
          <w:rFonts w:hint="eastAsia" w:ascii="Times New Roman" w:hAnsi="Times New Roman" w:eastAsia="宋体" w:cs="Times New Roman"/>
          <w:sz w:val="24"/>
          <w:szCs w:val="24"/>
        </w:rPr>
        <w:t>（一）预留部分限制性股票的授予情况</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公司于2017年11月30日召开第四届董事会第二十七次会议</w:t>
      </w:r>
      <w:r>
        <w:rPr>
          <w:rFonts w:ascii="Times New Roman" w:hAnsi="Times New Roman" w:eastAsia="宋体" w:cs="Times New Roman"/>
          <w:sz w:val="24"/>
          <w:szCs w:val="24"/>
        </w:rPr>
        <w:t>和第四届监事会第</w:t>
      </w:r>
      <w:r>
        <w:rPr>
          <w:rFonts w:hint="eastAsia" w:ascii="Times New Roman" w:hAnsi="Times New Roman" w:eastAsia="宋体" w:cs="Times New Roman"/>
          <w:sz w:val="24"/>
          <w:szCs w:val="24"/>
        </w:rPr>
        <w:t>十八</w:t>
      </w:r>
      <w:r>
        <w:rPr>
          <w:rFonts w:ascii="Times New Roman" w:hAnsi="Times New Roman" w:eastAsia="宋体" w:cs="Times New Roman"/>
          <w:sz w:val="24"/>
          <w:szCs w:val="24"/>
        </w:rPr>
        <w:t>次会议</w:t>
      </w:r>
      <w:r>
        <w:rPr>
          <w:rFonts w:hint="eastAsia" w:ascii="Times New Roman" w:hAnsi="Times New Roman" w:eastAsia="宋体" w:cs="Times New Roman"/>
          <w:sz w:val="24"/>
          <w:szCs w:val="24"/>
        </w:rPr>
        <w:t>，审议通过了《关于向激励对象授予2017年限制性股票激励计划预留部分限制性股票的议案》，独立董事发表同意的独立意见。国浩律师（杭州）事务所出具了法律意见书。上海荣正投资咨询有限公司就本次激励计划预留部分</w:t>
      </w:r>
      <w:r>
        <w:rPr>
          <w:rFonts w:hint="eastAsia" w:ascii="宋体" w:hAnsi="宋体" w:eastAsia="宋体" w:cs="Times New Roman"/>
          <w:sz w:val="24"/>
          <w:szCs w:val="24"/>
        </w:rPr>
        <w:t>限制性股票</w:t>
      </w:r>
      <w:r>
        <w:rPr>
          <w:rFonts w:hint="eastAsia" w:ascii="Times New Roman" w:hAnsi="Times New Roman" w:eastAsia="宋体" w:cs="Times New Roman"/>
          <w:sz w:val="24"/>
          <w:szCs w:val="24"/>
        </w:rPr>
        <w:t>授予事项出具独立财务顾问报告。具体情况如下：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1、授予日：2017年</w:t>
      </w:r>
      <w:r>
        <w:rPr>
          <w:rFonts w:hint="eastAsia" w:ascii="Times New Roman" w:hAnsi="Times New Roman" w:eastAsia="宋体" w:cs="Times New Roman"/>
          <w:sz w:val="24"/>
          <w:szCs w:val="24"/>
        </w:rPr>
        <w:t>11</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日。</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2、授予数量：6</w:t>
      </w:r>
      <w:r>
        <w:rPr>
          <w:rFonts w:hint="eastAsia" w:ascii="Times New Roman" w:hAnsi="Times New Roman" w:eastAsia="宋体" w:cs="Times New Roman"/>
          <w:sz w:val="24"/>
          <w:szCs w:val="24"/>
        </w:rPr>
        <w:t>0</w:t>
      </w:r>
      <w:r>
        <w:rPr>
          <w:rFonts w:ascii="Times New Roman" w:hAnsi="Times New Roman" w:eastAsia="宋体" w:cs="Times New Roman"/>
          <w:sz w:val="24"/>
          <w:szCs w:val="24"/>
        </w:rPr>
        <w:t>万股。</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3、授予人数：1</w:t>
      </w:r>
      <w:r>
        <w:rPr>
          <w:rFonts w:hint="eastAsia" w:ascii="Times New Roman" w:hAnsi="Times New Roman" w:eastAsia="宋体" w:cs="Times New Roman"/>
          <w:sz w:val="24"/>
          <w:szCs w:val="24"/>
        </w:rPr>
        <w:t>7</w:t>
      </w:r>
      <w:r>
        <w:rPr>
          <w:rFonts w:ascii="Times New Roman" w:hAnsi="Times New Roman" w:eastAsia="宋体" w:cs="Times New Roman"/>
          <w:sz w:val="24"/>
          <w:szCs w:val="24"/>
        </w:rPr>
        <w:t>人，包括管理人员、核心技术（业务）人员。</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4、授予价格：每股</w:t>
      </w:r>
      <w:r>
        <w:rPr>
          <w:rFonts w:hint="eastAsia" w:ascii="Times New Roman" w:hAnsi="Times New Roman" w:eastAsia="宋体" w:cs="Times New Roman"/>
          <w:sz w:val="24"/>
          <w:szCs w:val="24"/>
        </w:rPr>
        <w:t>10.84</w:t>
      </w:r>
      <w:r>
        <w:rPr>
          <w:rFonts w:ascii="Times New Roman" w:hAnsi="Times New Roman" w:eastAsia="宋体" w:cs="Times New Roman"/>
          <w:sz w:val="24"/>
          <w:szCs w:val="24"/>
        </w:rPr>
        <w:t>元。</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5、股票来源：公司向激励对象定向增发的本公司A股普通股。</w:t>
      </w:r>
    </w:p>
    <w:p>
      <w:pPr>
        <w:spacing w:line="360" w:lineRule="auto"/>
        <w:ind w:firstLine="480" w:firstLineChars="200"/>
        <w:rPr>
          <w:rFonts w:ascii="Times New Roman" w:hAnsi="Times New Roman" w:cs="Times New Roman"/>
          <w:sz w:val="24"/>
          <w:szCs w:val="24"/>
        </w:rPr>
      </w:pPr>
      <w:r>
        <w:rPr>
          <w:rFonts w:hint="eastAsia" w:ascii="Times New Roman" w:hAnsi="Times New Roman" w:eastAsia="宋体" w:cs="Times New Roman"/>
          <w:sz w:val="24"/>
          <w:szCs w:val="24"/>
        </w:rPr>
        <w:t>（二）</w:t>
      </w:r>
      <w:r>
        <w:rPr>
          <w:rFonts w:hint="eastAsia" w:ascii="Times New Roman" w:hAnsi="Times New Roman" w:cs="Times New Roman"/>
          <w:sz w:val="24"/>
          <w:szCs w:val="24"/>
        </w:rPr>
        <w:t>激励对象名单及授予情况：</w:t>
      </w:r>
    </w:p>
    <w:tbl>
      <w:tblPr>
        <w:tblStyle w:val="13"/>
        <w:tblpPr w:leftFromText="180" w:rightFromText="180" w:vertAnchor="text" w:horzAnchor="margin" w:tblpXSpec="center" w:tblpY="12"/>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61"/>
        <w:gridCol w:w="1567"/>
        <w:gridCol w:w="171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 w:hRule="atLeast"/>
        </w:trPr>
        <w:tc>
          <w:tcPr>
            <w:tcW w:w="3261" w:type="dxa"/>
            <w:shd w:val="clear" w:color="auto" w:fill="BEBEBE" w:themeFill="background1" w:themeFillShade="BF"/>
            <w:vAlign w:val="center"/>
          </w:tcPr>
          <w:p>
            <w:pPr>
              <w:spacing w:before="156" w:beforeLines="50" w:after="156" w:afterLines="50"/>
              <w:jc w:val="center"/>
              <w:rPr>
                <w:rFonts w:ascii="Times New Roman" w:hAnsi="Times New Roman" w:eastAsia="宋体" w:cs="Times New Roman"/>
                <w:b/>
              </w:rPr>
            </w:pPr>
            <w:r>
              <w:rPr>
                <w:rFonts w:ascii="Times New Roman" w:hAnsi="Times New Roman" w:eastAsia="宋体" w:cs="Times New Roman"/>
                <w:b/>
                <w:color w:val="000000" w:themeColor="text1"/>
                <w:szCs w:val="21"/>
              </w:rPr>
              <w:t>限制性股票分配类别</w:t>
            </w:r>
          </w:p>
        </w:tc>
        <w:tc>
          <w:tcPr>
            <w:tcW w:w="1567" w:type="dxa"/>
            <w:shd w:val="clear" w:color="auto" w:fill="BEBEBE" w:themeFill="background1" w:themeFillShade="BF"/>
            <w:vAlign w:val="center"/>
          </w:tcPr>
          <w:p>
            <w:pPr>
              <w:widowControl/>
              <w:snapToGrid w:val="0"/>
              <w:spacing w:before="156" w:beforeLines="50" w:after="156" w:afterLines="5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授</w:t>
            </w:r>
            <w:r>
              <w:rPr>
                <w:rFonts w:hint="eastAsia" w:ascii="Times New Roman" w:hAnsi="Times New Roman" w:eastAsia="宋体" w:cs="Times New Roman"/>
                <w:b/>
                <w:color w:val="000000" w:themeColor="text1"/>
                <w:szCs w:val="21"/>
              </w:rPr>
              <w:t>予</w:t>
            </w:r>
            <w:r>
              <w:rPr>
                <w:rFonts w:ascii="Times New Roman" w:hAnsi="Times New Roman" w:eastAsia="宋体" w:cs="Times New Roman"/>
                <w:b/>
                <w:color w:val="000000" w:themeColor="text1"/>
                <w:szCs w:val="21"/>
              </w:rPr>
              <w:t>数量(万股)</w:t>
            </w:r>
          </w:p>
        </w:tc>
        <w:tc>
          <w:tcPr>
            <w:tcW w:w="1710" w:type="dxa"/>
            <w:shd w:val="clear" w:color="auto" w:fill="BEBEBE" w:themeFill="background1" w:themeFillShade="BF"/>
            <w:vAlign w:val="center"/>
          </w:tcPr>
          <w:p>
            <w:pPr>
              <w:widowControl/>
              <w:snapToGrid w:val="0"/>
              <w:spacing w:before="156" w:beforeLines="50" w:after="156" w:afterLines="5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占限制性股票</w:t>
            </w:r>
            <w:r>
              <w:rPr>
                <w:rFonts w:hint="eastAsia" w:ascii="Times New Roman" w:hAnsi="Times New Roman" w:eastAsia="宋体" w:cs="Times New Roman"/>
                <w:b/>
                <w:color w:val="000000" w:themeColor="text1"/>
                <w:szCs w:val="21"/>
              </w:rPr>
              <w:t>激励计划</w:t>
            </w:r>
            <w:r>
              <w:rPr>
                <w:rFonts w:ascii="Times New Roman" w:hAnsi="Times New Roman" w:eastAsia="宋体" w:cs="Times New Roman"/>
                <w:b/>
                <w:color w:val="000000" w:themeColor="text1"/>
                <w:szCs w:val="21"/>
              </w:rPr>
              <w:t>总</w:t>
            </w:r>
            <w:r>
              <w:rPr>
                <w:rFonts w:hint="eastAsia" w:ascii="Times New Roman" w:hAnsi="Times New Roman" w:eastAsia="宋体" w:cs="Times New Roman"/>
                <w:b/>
                <w:color w:val="000000" w:themeColor="text1"/>
                <w:szCs w:val="21"/>
              </w:rPr>
              <w:t>量</w:t>
            </w:r>
            <w:r>
              <w:rPr>
                <w:rFonts w:ascii="Times New Roman" w:hAnsi="Times New Roman" w:eastAsia="宋体" w:cs="Times New Roman"/>
                <w:b/>
                <w:color w:val="000000" w:themeColor="text1"/>
                <w:szCs w:val="21"/>
              </w:rPr>
              <w:t>的比例</w:t>
            </w:r>
          </w:p>
        </w:tc>
        <w:tc>
          <w:tcPr>
            <w:tcW w:w="1778" w:type="dxa"/>
            <w:shd w:val="clear" w:color="auto" w:fill="BEBEBE" w:themeFill="background1" w:themeFillShade="BF"/>
            <w:vAlign w:val="center"/>
          </w:tcPr>
          <w:p>
            <w:pPr>
              <w:widowControl/>
              <w:snapToGrid w:val="0"/>
              <w:spacing w:before="156" w:beforeLines="50" w:after="156" w:afterLines="5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占</w:t>
            </w:r>
            <w:r>
              <w:rPr>
                <w:rFonts w:hint="eastAsia" w:ascii="Times New Roman" w:hAnsi="Times New Roman" w:eastAsia="宋体" w:cs="Times New Roman"/>
                <w:b/>
                <w:color w:val="000000" w:themeColor="text1"/>
                <w:szCs w:val="21"/>
              </w:rPr>
              <w:t>授予完成时</w:t>
            </w:r>
            <w:r>
              <w:rPr>
                <w:rFonts w:ascii="Times New Roman" w:hAnsi="Times New Roman" w:eastAsia="宋体" w:cs="Times New Roman"/>
                <w:b/>
                <w:color w:val="000000" w:themeColor="text1"/>
                <w:szCs w:val="21"/>
              </w:rPr>
              <w:t>总</w:t>
            </w:r>
            <w:r>
              <w:rPr>
                <w:rFonts w:hint="eastAsia" w:ascii="Times New Roman" w:hAnsi="Times New Roman" w:eastAsia="宋体" w:cs="Times New Roman"/>
                <w:b/>
                <w:color w:val="000000" w:themeColor="text1"/>
                <w:szCs w:val="21"/>
              </w:rPr>
              <w:t>股本</w:t>
            </w:r>
            <w:r>
              <w:rPr>
                <w:rFonts w:ascii="Times New Roman" w:hAnsi="Times New Roman" w:eastAsia="宋体" w:cs="Times New Roman"/>
                <w:b/>
                <w:color w:val="000000" w:themeColor="text1"/>
                <w:szCs w:val="21"/>
              </w:rPr>
              <w:t>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3261" w:type="dxa"/>
            <w:shd w:val="clear" w:color="auto" w:fill="auto"/>
            <w:vAlign w:val="center"/>
          </w:tcPr>
          <w:p>
            <w:pPr>
              <w:adjustRightIn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管理人员（</w:t>
            </w:r>
            <w:r>
              <w:rPr>
                <w:rFonts w:hint="eastAsia" w:ascii="Times New Roman" w:hAnsi="Times New Roman" w:eastAsia="宋体" w:cs="Times New Roman"/>
                <w:szCs w:val="21"/>
              </w:rPr>
              <w:t>9</w:t>
            </w:r>
            <w:r>
              <w:rPr>
                <w:rFonts w:ascii="Times New Roman" w:hAnsi="Times New Roman" w:eastAsia="宋体" w:cs="Times New Roman"/>
                <w:szCs w:val="21"/>
              </w:rPr>
              <w:t>人）</w:t>
            </w:r>
          </w:p>
        </w:tc>
        <w:tc>
          <w:tcPr>
            <w:tcW w:w="1567" w:type="dxa"/>
            <w:shd w:val="clear" w:color="auto" w:fill="auto"/>
            <w:tcMar>
              <w:top w:w="80" w:type="dxa"/>
              <w:left w:w="80" w:type="dxa"/>
              <w:bottom w:w="80" w:type="dxa"/>
              <w:right w:w="80" w:type="dxa"/>
            </w:tcMar>
            <w:vAlign w:val="center"/>
          </w:tcPr>
          <w:p>
            <w:pPr>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44</w:t>
            </w:r>
          </w:p>
        </w:tc>
        <w:tc>
          <w:tcPr>
            <w:tcW w:w="1710" w:type="dxa"/>
            <w:shd w:val="clear" w:color="auto" w:fill="auto"/>
            <w:vAlign w:val="center"/>
          </w:tcPr>
          <w:p>
            <w:pPr>
              <w:spacing w:line="360"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6.19</w:t>
            </w:r>
            <w:r>
              <w:rPr>
                <w:rFonts w:ascii="Times New Roman" w:hAnsi="Times New Roman" w:eastAsia="宋体" w:cs="Times New Roman"/>
                <w:color w:val="000000"/>
                <w:szCs w:val="21"/>
              </w:rPr>
              <w:t>%</w:t>
            </w:r>
          </w:p>
        </w:tc>
        <w:tc>
          <w:tcPr>
            <w:tcW w:w="1778" w:type="dxa"/>
            <w:shd w:val="clear" w:color="auto" w:fill="auto"/>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w:t>
            </w:r>
            <w:r>
              <w:rPr>
                <w:rFonts w:hint="eastAsia" w:ascii="Times New Roman" w:hAnsi="Times New Roman" w:eastAsia="宋体" w:cs="Times New Roman"/>
                <w:color w:val="000000"/>
                <w:szCs w:val="21"/>
              </w:rPr>
              <w:t>064</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3261" w:type="dxa"/>
            <w:shd w:val="clear" w:color="auto" w:fill="auto"/>
            <w:vAlign w:val="center"/>
          </w:tcPr>
          <w:p>
            <w:pPr>
              <w:adjustRightIn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核心技术（业务）人员（</w:t>
            </w:r>
            <w:r>
              <w:rPr>
                <w:rFonts w:hint="eastAsia" w:ascii="Times New Roman" w:hAnsi="Times New Roman" w:eastAsia="宋体" w:cs="Times New Roman"/>
                <w:szCs w:val="21"/>
              </w:rPr>
              <w:t>8</w:t>
            </w:r>
            <w:r>
              <w:rPr>
                <w:rFonts w:ascii="Times New Roman" w:hAnsi="Times New Roman" w:eastAsia="宋体" w:cs="Times New Roman"/>
                <w:szCs w:val="21"/>
              </w:rPr>
              <w:t>人）</w:t>
            </w:r>
          </w:p>
        </w:tc>
        <w:tc>
          <w:tcPr>
            <w:tcW w:w="1567" w:type="dxa"/>
            <w:shd w:val="clear" w:color="auto" w:fill="auto"/>
            <w:tcMar>
              <w:top w:w="80" w:type="dxa"/>
              <w:left w:w="80" w:type="dxa"/>
              <w:bottom w:w="80" w:type="dxa"/>
              <w:right w:w="80" w:type="dxa"/>
            </w:tcMar>
            <w:vAlign w:val="center"/>
          </w:tcPr>
          <w:p>
            <w:pPr>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16</w:t>
            </w:r>
          </w:p>
        </w:tc>
        <w:tc>
          <w:tcPr>
            <w:tcW w:w="1710" w:type="dxa"/>
            <w:shd w:val="clear" w:color="auto" w:fill="auto"/>
            <w:vAlign w:val="center"/>
          </w:tcPr>
          <w:p>
            <w:pPr>
              <w:spacing w:line="360"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2.25</w:t>
            </w:r>
            <w:r>
              <w:rPr>
                <w:rFonts w:ascii="Times New Roman" w:hAnsi="Times New Roman" w:eastAsia="宋体" w:cs="Times New Roman"/>
                <w:color w:val="000000"/>
                <w:szCs w:val="21"/>
              </w:rPr>
              <w:t>%</w:t>
            </w:r>
          </w:p>
        </w:tc>
        <w:tc>
          <w:tcPr>
            <w:tcW w:w="1778" w:type="dxa"/>
            <w:shd w:val="clear" w:color="auto" w:fill="auto"/>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w:t>
            </w:r>
            <w:r>
              <w:rPr>
                <w:rFonts w:hint="eastAsia" w:ascii="Times New Roman" w:hAnsi="Times New Roman" w:eastAsia="宋体" w:cs="Times New Roman"/>
                <w:color w:val="000000"/>
                <w:szCs w:val="21"/>
              </w:rPr>
              <w:t>023</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3261" w:type="dxa"/>
            <w:shd w:val="clear" w:color="auto" w:fill="auto"/>
            <w:vAlign w:val="center"/>
          </w:tcPr>
          <w:p>
            <w:pPr>
              <w:adjustRightIn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合计</w:t>
            </w:r>
          </w:p>
        </w:tc>
        <w:tc>
          <w:tcPr>
            <w:tcW w:w="1567" w:type="dxa"/>
            <w:shd w:val="clear" w:color="auto" w:fill="auto"/>
            <w:tcMar>
              <w:top w:w="80" w:type="dxa"/>
              <w:left w:w="80" w:type="dxa"/>
              <w:bottom w:w="80" w:type="dxa"/>
              <w:right w:w="80" w:type="dxa"/>
            </w:tcMar>
            <w:vAlign w:val="center"/>
          </w:tcPr>
          <w:p>
            <w:pPr>
              <w:spacing w:line="360"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60</w:t>
            </w:r>
          </w:p>
        </w:tc>
        <w:tc>
          <w:tcPr>
            <w:tcW w:w="1710" w:type="dxa"/>
            <w:shd w:val="clear" w:color="auto" w:fill="auto"/>
            <w:vAlign w:val="center"/>
          </w:tcPr>
          <w:p>
            <w:pPr>
              <w:spacing w:line="360"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8.44</w:t>
            </w:r>
            <w:r>
              <w:rPr>
                <w:rFonts w:ascii="Times New Roman" w:hAnsi="Times New Roman" w:eastAsia="宋体" w:cs="Times New Roman"/>
                <w:color w:val="000000"/>
                <w:szCs w:val="21"/>
              </w:rPr>
              <w:t>%</w:t>
            </w:r>
          </w:p>
        </w:tc>
        <w:tc>
          <w:tcPr>
            <w:tcW w:w="1778" w:type="dxa"/>
            <w:shd w:val="clear" w:color="auto" w:fill="auto"/>
            <w:vAlign w:val="center"/>
          </w:tcPr>
          <w:p>
            <w:pPr>
              <w:spacing w:line="360" w:lineRule="auto"/>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0.087</w:t>
            </w:r>
            <w:r>
              <w:rPr>
                <w:rFonts w:ascii="Times New Roman" w:hAnsi="Times New Roman" w:eastAsia="宋体" w:cs="Times New Roman"/>
                <w:color w:val="000000"/>
                <w:szCs w:val="21"/>
              </w:rPr>
              <w:t>%</w:t>
            </w:r>
          </w:p>
        </w:tc>
      </w:tr>
    </w:tbl>
    <w:p>
      <w:pPr>
        <w:spacing w:line="360" w:lineRule="auto"/>
        <w:ind w:firstLine="470" w:firstLineChars="196"/>
        <w:rPr>
          <w:rFonts w:ascii="宋体" w:hAnsi="宋体" w:eastAsia="宋体"/>
          <w:color w:val="FF0000"/>
          <w:sz w:val="24"/>
          <w:szCs w:val="24"/>
        </w:rPr>
      </w:pP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二</w:t>
      </w:r>
      <w:r>
        <w:rPr>
          <w:rFonts w:ascii="Times New Roman" w:hAnsi="Times New Roman" w:eastAsia="宋体" w:cs="Times New Roman"/>
          <w:b/>
          <w:sz w:val="24"/>
          <w:szCs w:val="24"/>
        </w:rPr>
        <w:t>、激励计划的有效期、锁定期和解锁安排情况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本激励计划有效期自限制性股票授予之日起至激励对象获授的限制性股票全部解除限售或回购注销之日止，最长不超过60个月。</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本激励计划授予的限制性股票限售期为自相应授予日起12个月。激励对象根据本激励计划获授的限制性股票在解除限售前不得转让、用于担保或偿还债务。</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解除限售后，公司为满足解除限售条件的激励对象办理解除限售事宜，未满足解除限售条件的激励对象持有的限制性股票由公司回购注销。</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本激励计划</w:t>
      </w:r>
      <w:r>
        <w:rPr>
          <w:rFonts w:hint="eastAsia" w:ascii="Times New Roman" w:hAnsi="Times New Roman" w:eastAsia="宋体" w:cs="Times New Roman"/>
          <w:sz w:val="24"/>
          <w:szCs w:val="24"/>
        </w:rPr>
        <w:t>预留部分</w:t>
      </w:r>
      <w:r>
        <w:rPr>
          <w:rFonts w:ascii="Times New Roman" w:hAnsi="Times New Roman" w:eastAsia="宋体" w:cs="Times New Roman"/>
          <w:sz w:val="24"/>
          <w:szCs w:val="24"/>
        </w:rPr>
        <w:t>限制性股票自授予日满12个月后分三期解除限售，具体安排如下表所示：</w:t>
      </w:r>
    </w:p>
    <w:tbl>
      <w:tblPr>
        <w:tblStyle w:val="13"/>
        <w:tblW w:w="852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289"/>
        <w:gridCol w:w="4622"/>
        <w:gridCol w:w="16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2289" w:type="dxa"/>
            <w:shd w:val="clear" w:color="auto" w:fill="BEBEBE" w:themeFill="background1" w:themeFillShade="BF"/>
            <w:vAlign w:val="center"/>
          </w:tcPr>
          <w:p>
            <w:pPr>
              <w:pStyle w:val="19"/>
              <w:spacing w:before="156" w:beforeLines="50" w:after="156" w:afterLines="50"/>
              <w:jc w:val="center"/>
              <w:rPr>
                <w:rFonts w:ascii="Times New Roman" w:eastAsia="宋体" w:cs="Times New Roman"/>
                <w:b/>
                <w:color w:val="auto"/>
                <w:kern w:val="2"/>
                <w:sz w:val="21"/>
                <w:szCs w:val="21"/>
              </w:rPr>
            </w:pPr>
            <w:r>
              <w:rPr>
                <w:rFonts w:hint="eastAsia" w:ascii="Times New Roman" w:eastAsia="宋体" w:cs="Times New Roman"/>
                <w:b/>
                <w:color w:val="auto"/>
                <w:sz w:val="21"/>
                <w:szCs w:val="21"/>
              </w:rPr>
              <w:t>预留部分</w:t>
            </w:r>
            <w:r>
              <w:rPr>
                <w:rFonts w:ascii="Times New Roman" w:eastAsia="宋体" w:cs="Times New Roman"/>
                <w:b/>
                <w:color w:val="auto"/>
                <w:sz w:val="21"/>
                <w:szCs w:val="21"/>
              </w:rPr>
              <w:t>限制性股票的解除限售安排</w:t>
            </w:r>
          </w:p>
        </w:tc>
        <w:tc>
          <w:tcPr>
            <w:tcW w:w="4622" w:type="dxa"/>
            <w:shd w:val="clear" w:color="auto" w:fill="BEBEBE" w:themeFill="background1" w:themeFillShade="BF"/>
            <w:vAlign w:val="center"/>
          </w:tcPr>
          <w:p>
            <w:pPr>
              <w:pStyle w:val="19"/>
              <w:spacing w:before="156" w:beforeLines="50" w:after="156" w:afterLines="50"/>
              <w:jc w:val="center"/>
              <w:rPr>
                <w:rFonts w:ascii="Times New Roman" w:eastAsia="宋体" w:cs="Times New Roman"/>
                <w:b/>
                <w:color w:val="auto"/>
                <w:kern w:val="2"/>
                <w:sz w:val="21"/>
                <w:szCs w:val="21"/>
              </w:rPr>
            </w:pPr>
            <w:r>
              <w:rPr>
                <w:rFonts w:ascii="Times New Roman" w:eastAsia="宋体" w:cs="Times New Roman"/>
                <w:b/>
                <w:color w:val="auto"/>
                <w:sz w:val="21"/>
                <w:szCs w:val="21"/>
              </w:rPr>
              <w:t>解除限售时间</w:t>
            </w:r>
          </w:p>
        </w:tc>
        <w:tc>
          <w:tcPr>
            <w:tcW w:w="1611" w:type="dxa"/>
            <w:shd w:val="clear" w:color="auto" w:fill="BEBEBE" w:themeFill="background1" w:themeFillShade="BF"/>
            <w:vAlign w:val="center"/>
          </w:tcPr>
          <w:p>
            <w:pPr>
              <w:pStyle w:val="19"/>
              <w:spacing w:before="156" w:beforeLines="50" w:after="156" w:afterLines="50"/>
              <w:jc w:val="center"/>
              <w:rPr>
                <w:rFonts w:ascii="Times New Roman" w:eastAsia="宋体" w:cs="Times New Roman"/>
                <w:b/>
                <w:color w:val="auto"/>
                <w:kern w:val="2"/>
                <w:sz w:val="21"/>
                <w:szCs w:val="21"/>
              </w:rPr>
            </w:pPr>
            <w:r>
              <w:rPr>
                <w:rFonts w:ascii="Times New Roman" w:eastAsia="宋体" w:cs="Times New Roman"/>
                <w:b/>
                <w:color w:val="auto"/>
                <w:sz w:val="21"/>
                <w:szCs w:val="21"/>
              </w:rPr>
              <w:t>解除限售比例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2289"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hint="eastAsia" w:ascii="Times New Roman" w:eastAsia="宋体" w:cs="Times New Roman"/>
                <w:color w:val="auto"/>
                <w:sz w:val="21"/>
                <w:szCs w:val="21"/>
              </w:rPr>
              <w:t>第一个解除限售期</w:t>
            </w:r>
          </w:p>
        </w:tc>
        <w:tc>
          <w:tcPr>
            <w:tcW w:w="4622" w:type="dxa"/>
            <w:shd w:val="clear" w:color="auto" w:fill="auto"/>
            <w:vAlign w:val="center"/>
          </w:tcPr>
          <w:p>
            <w:pPr>
              <w:pStyle w:val="19"/>
              <w:spacing w:before="156" w:beforeLines="50" w:after="156" w:afterLines="50"/>
              <w:rPr>
                <w:rFonts w:ascii="Times New Roman" w:eastAsia="宋体" w:cs="Times New Roman"/>
                <w:color w:val="auto"/>
                <w:kern w:val="2"/>
                <w:sz w:val="21"/>
                <w:szCs w:val="21"/>
              </w:rPr>
            </w:pPr>
            <w:r>
              <w:rPr>
                <w:rFonts w:ascii="Times New Roman" w:eastAsia="宋体" w:cs="Times New Roman"/>
                <w:color w:val="auto"/>
                <w:sz w:val="21"/>
                <w:szCs w:val="21"/>
              </w:rPr>
              <w:t>自</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授予日起12个月后的首个交易日起至</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授予日起24个月内的最后一个交易日当日止</w:t>
            </w:r>
          </w:p>
        </w:tc>
        <w:tc>
          <w:tcPr>
            <w:tcW w:w="1611"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ascii="Times New Roman" w:eastAsia="宋体" w:cs="Times New Roman"/>
                <w:color w:val="auto"/>
                <w:sz w:val="21"/>
                <w:szCs w:val="21"/>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2289"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hint="eastAsia" w:ascii="Times New Roman" w:eastAsia="宋体" w:cs="Times New Roman"/>
                <w:color w:val="auto"/>
                <w:sz w:val="21"/>
                <w:szCs w:val="21"/>
              </w:rPr>
              <w:t>第二个解除限售期</w:t>
            </w:r>
          </w:p>
        </w:tc>
        <w:tc>
          <w:tcPr>
            <w:tcW w:w="4622" w:type="dxa"/>
            <w:shd w:val="clear" w:color="auto" w:fill="auto"/>
            <w:vAlign w:val="center"/>
          </w:tcPr>
          <w:p>
            <w:pPr>
              <w:pStyle w:val="19"/>
              <w:spacing w:before="156" w:beforeLines="50" w:after="156" w:afterLines="50"/>
              <w:rPr>
                <w:rFonts w:ascii="Times New Roman" w:eastAsia="宋体" w:cs="Times New Roman"/>
                <w:color w:val="auto"/>
                <w:kern w:val="2"/>
                <w:sz w:val="21"/>
                <w:szCs w:val="21"/>
              </w:rPr>
            </w:pPr>
            <w:r>
              <w:rPr>
                <w:rFonts w:ascii="Times New Roman" w:eastAsia="宋体" w:cs="Times New Roman"/>
                <w:color w:val="auto"/>
                <w:sz w:val="21"/>
                <w:szCs w:val="21"/>
              </w:rPr>
              <w:t>自</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授予日起24个月后的首个交易日起至</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授予日起36个月内的最后一个交易日当日止</w:t>
            </w:r>
          </w:p>
        </w:tc>
        <w:tc>
          <w:tcPr>
            <w:tcW w:w="1611"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ascii="Times New Roman" w:eastAsia="宋体" w:cs="Times New Roman"/>
                <w:color w:val="auto"/>
                <w:sz w:val="21"/>
                <w:szCs w:val="21"/>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2289"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hint="eastAsia" w:ascii="Times New Roman" w:eastAsia="宋体" w:cs="Times New Roman"/>
                <w:color w:val="auto"/>
                <w:sz w:val="21"/>
                <w:szCs w:val="21"/>
              </w:rPr>
              <w:t>第三个解除限售期</w:t>
            </w:r>
          </w:p>
        </w:tc>
        <w:tc>
          <w:tcPr>
            <w:tcW w:w="4622" w:type="dxa"/>
            <w:shd w:val="clear" w:color="auto" w:fill="auto"/>
            <w:vAlign w:val="center"/>
          </w:tcPr>
          <w:p>
            <w:pPr>
              <w:pStyle w:val="19"/>
              <w:spacing w:before="156" w:beforeLines="50" w:after="156" w:afterLines="50"/>
              <w:rPr>
                <w:rFonts w:ascii="Times New Roman" w:eastAsia="宋体" w:cs="Times New Roman"/>
                <w:color w:val="auto"/>
                <w:kern w:val="2"/>
                <w:sz w:val="21"/>
                <w:szCs w:val="21"/>
              </w:rPr>
            </w:pPr>
            <w:r>
              <w:rPr>
                <w:rFonts w:ascii="Times New Roman" w:eastAsia="宋体" w:cs="Times New Roman"/>
                <w:color w:val="auto"/>
                <w:sz w:val="21"/>
                <w:szCs w:val="21"/>
              </w:rPr>
              <w:t>自</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授予日起36个月后的首个交易日起至</w:t>
            </w:r>
            <w:r>
              <w:rPr>
                <w:rFonts w:hint="eastAsia" w:ascii="Times New Roman" w:eastAsia="宋体" w:cs="Times New Roman"/>
                <w:color w:val="auto"/>
                <w:sz w:val="21"/>
                <w:szCs w:val="21"/>
              </w:rPr>
              <w:t>预留</w:t>
            </w:r>
            <w:r>
              <w:rPr>
                <w:rFonts w:ascii="Times New Roman" w:eastAsia="宋体" w:cs="Times New Roman"/>
                <w:color w:val="auto"/>
                <w:sz w:val="21"/>
                <w:szCs w:val="21"/>
              </w:rPr>
              <w:t>授予日起48个月内的最后一个交易日当日止</w:t>
            </w:r>
          </w:p>
        </w:tc>
        <w:tc>
          <w:tcPr>
            <w:tcW w:w="1611" w:type="dxa"/>
            <w:shd w:val="clear" w:color="auto" w:fill="auto"/>
            <w:vAlign w:val="center"/>
          </w:tcPr>
          <w:p>
            <w:pPr>
              <w:pStyle w:val="19"/>
              <w:spacing w:line="360" w:lineRule="auto"/>
              <w:jc w:val="center"/>
              <w:rPr>
                <w:rFonts w:ascii="Times New Roman" w:eastAsia="宋体" w:cs="Times New Roman"/>
                <w:color w:val="auto"/>
                <w:kern w:val="2"/>
                <w:sz w:val="21"/>
                <w:szCs w:val="21"/>
              </w:rPr>
            </w:pPr>
            <w:r>
              <w:rPr>
                <w:rFonts w:ascii="Times New Roman" w:eastAsia="宋体" w:cs="Times New Roman"/>
                <w:color w:val="auto"/>
                <w:sz w:val="21"/>
                <w:szCs w:val="21"/>
              </w:rPr>
              <w:t>30%</w:t>
            </w:r>
          </w:p>
        </w:tc>
      </w:tr>
    </w:tbl>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激励对象获授的限制性股票由于公司发生资本公积金转增股本、派发股票红利、股份拆细而取得的股份同时限售，不得在二级市场出售或以其他方式转让，该等股份的解除限售期与限制性股票解除限售期相同。</w:t>
      </w:r>
    </w:p>
    <w:p>
      <w:pPr>
        <w:pStyle w:val="8"/>
        <w:spacing w:line="360" w:lineRule="auto"/>
        <w:ind w:firstLine="482" w:firstLineChars="200"/>
        <w:jc w:val="left"/>
        <w:rPr>
          <w:sz w:val="24"/>
          <w:szCs w:val="24"/>
        </w:rPr>
      </w:pPr>
      <w:r>
        <w:rPr>
          <w:rFonts w:hint="eastAsia"/>
          <w:sz w:val="24"/>
          <w:szCs w:val="24"/>
        </w:rPr>
        <w:t>三、限制性股票认购资金的验资情况</w:t>
      </w:r>
    </w:p>
    <w:p>
      <w:pPr>
        <w:pStyle w:val="8"/>
        <w:spacing w:line="360" w:lineRule="auto"/>
        <w:ind w:firstLine="480" w:firstLineChars="200"/>
        <w:jc w:val="left"/>
        <w:rPr>
          <w:rFonts w:ascii="Times New Roman" w:hAnsi="Times New Roman" w:cs="Times New Roman"/>
          <w:b w:val="0"/>
          <w:bCs w:val="0"/>
          <w:sz w:val="24"/>
          <w:szCs w:val="24"/>
        </w:rPr>
      </w:pPr>
      <w:r>
        <w:rPr>
          <w:rFonts w:ascii="Times New Roman" w:hAnsi="Times New Roman" w:cs="Times New Roman"/>
          <w:b w:val="0"/>
          <w:bCs w:val="0"/>
          <w:sz w:val="24"/>
          <w:szCs w:val="24"/>
        </w:rPr>
        <w:t>2017年</w:t>
      </w:r>
      <w:r>
        <w:rPr>
          <w:rFonts w:hint="eastAsia" w:ascii="Times New Roman" w:hAnsi="Times New Roman" w:cs="Times New Roman"/>
          <w:b w:val="0"/>
          <w:bCs w:val="0"/>
          <w:sz w:val="24"/>
          <w:szCs w:val="24"/>
        </w:rPr>
        <w:t>12</w:t>
      </w:r>
      <w:r>
        <w:rPr>
          <w:rFonts w:ascii="Times New Roman" w:hAnsi="Times New Roman" w:cs="Times New Roman"/>
          <w:b w:val="0"/>
          <w:bCs w:val="0"/>
          <w:sz w:val="24"/>
          <w:szCs w:val="24"/>
        </w:rPr>
        <w:t>月</w:t>
      </w:r>
      <w:r>
        <w:rPr>
          <w:rFonts w:hint="eastAsia" w:ascii="Times New Roman" w:hAnsi="Times New Roman" w:cs="Times New Roman"/>
          <w:b w:val="0"/>
          <w:bCs w:val="0"/>
          <w:sz w:val="24"/>
          <w:szCs w:val="24"/>
        </w:rPr>
        <w:t>18</w:t>
      </w:r>
      <w:r>
        <w:rPr>
          <w:rFonts w:ascii="Times New Roman" w:hAnsi="Times New Roman" w:cs="Times New Roman"/>
          <w:b w:val="0"/>
          <w:bCs w:val="0"/>
          <w:sz w:val="24"/>
          <w:szCs w:val="24"/>
        </w:rPr>
        <w:t>日，立信会计师事务所（特殊普通合伙）就公司新增注册资本的实收情况出具了验资报告（</w:t>
      </w:r>
      <w:r>
        <w:rPr>
          <w:rFonts w:hint="eastAsia" w:ascii="Times New Roman" w:hAnsi="Times New Roman" w:cs="Times New Roman"/>
          <w:b w:val="0"/>
          <w:bCs w:val="0"/>
          <w:sz w:val="24"/>
          <w:szCs w:val="24"/>
        </w:rPr>
        <w:t>信会师报字［2017］第ZF10964</w:t>
      </w:r>
      <w:r>
        <w:rPr>
          <w:rFonts w:ascii="Times New Roman" w:hAnsi="Times New Roman" w:cs="Times New Roman"/>
          <w:b w:val="0"/>
          <w:bCs w:val="0"/>
          <w:sz w:val="24"/>
          <w:szCs w:val="24"/>
        </w:rPr>
        <w:t>号）。根据该验资报告，截至2017年</w:t>
      </w:r>
      <w:r>
        <w:rPr>
          <w:rFonts w:hint="eastAsia" w:ascii="Times New Roman" w:hAnsi="Times New Roman" w:cs="Times New Roman"/>
          <w:b w:val="0"/>
          <w:bCs w:val="0"/>
          <w:sz w:val="24"/>
          <w:szCs w:val="24"/>
        </w:rPr>
        <w:t>12</w:t>
      </w:r>
      <w:r>
        <w:rPr>
          <w:rFonts w:ascii="Times New Roman" w:hAnsi="Times New Roman" w:cs="Times New Roman"/>
          <w:b w:val="0"/>
          <w:bCs w:val="0"/>
          <w:sz w:val="24"/>
          <w:szCs w:val="24"/>
        </w:rPr>
        <w:t>月</w:t>
      </w:r>
      <w:r>
        <w:rPr>
          <w:rFonts w:hint="eastAsia" w:ascii="Times New Roman" w:hAnsi="Times New Roman" w:cs="Times New Roman"/>
          <w:b w:val="0"/>
          <w:bCs w:val="0"/>
          <w:sz w:val="24"/>
          <w:szCs w:val="24"/>
        </w:rPr>
        <w:t>15</w:t>
      </w:r>
      <w:r>
        <w:rPr>
          <w:rFonts w:ascii="Times New Roman" w:hAnsi="Times New Roman" w:cs="Times New Roman"/>
          <w:b w:val="0"/>
          <w:bCs w:val="0"/>
          <w:sz w:val="24"/>
          <w:szCs w:val="24"/>
        </w:rPr>
        <w:t>日，公司实际收到</w:t>
      </w:r>
      <w:r>
        <w:rPr>
          <w:rFonts w:hint="eastAsia" w:ascii="Times New Roman" w:hAnsi="Times New Roman" w:cs="Times New Roman"/>
          <w:b w:val="0"/>
          <w:bCs w:val="0"/>
          <w:sz w:val="24"/>
          <w:szCs w:val="24"/>
        </w:rPr>
        <w:t>17</w:t>
      </w:r>
      <w:r>
        <w:rPr>
          <w:rFonts w:ascii="Times New Roman" w:hAnsi="Times New Roman" w:cs="Times New Roman"/>
          <w:b w:val="0"/>
          <w:bCs w:val="0"/>
          <w:sz w:val="24"/>
          <w:szCs w:val="24"/>
        </w:rPr>
        <w:t>名股权激励对象缴纳的人民币</w:t>
      </w:r>
      <w:r>
        <w:rPr>
          <w:rFonts w:hint="eastAsia" w:ascii="Times New Roman" w:hAnsi="Times New Roman" w:cs="Times New Roman"/>
          <w:b w:val="0"/>
          <w:bCs w:val="0"/>
          <w:sz w:val="24"/>
          <w:szCs w:val="24"/>
        </w:rPr>
        <w:t>6,504,000</w:t>
      </w:r>
      <w:r>
        <w:rPr>
          <w:rFonts w:ascii="Times New Roman" w:hAnsi="Times New Roman" w:cs="Times New Roman"/>
          <w:b w:val="0"/>
          <w:bCs w:val="0"/>
          <w:sz w:val="24"/>
          <w:szCs w:val="24"/>
        </w:rPr>
        <w:t>元，其中新增注册资本人民币</w:t>
      </w:r>
      <w:r>
        <w:rPr>
          <w:rFonts w:hint="eastAsia" w:ascii="Times New Roman" w:hAnsi="Times New Roman" w:cs="Times New Roman"/>
          <w:b w:val="0"/>
          <w:bCs w:val="0"/>
          <w:sz w:val="24"/>
          <w:szCs w:val="24"/>
        </w:rPr>
        <w:t>600,000</w:t>
      </w:r>
      <w:r>
        <w:rPr>
          <w:rFonts w:ascii="Times New Roman" w:hAnsi="Times New Roman" w:cs="Times New Roman"/>
          <w:b w:val="0"/>
          <w:bCs w:val="0"/>
          <w:sz w:val="24"/>
          <w:szCs w:val="24"/>
        </w:rPr>
        <w:t>元，增加资本公积人民币</w:t>
      </w:r>
      <w:r>
        <w:rPr>
          <w:rFonts w:hint="eastAsia" w:ascii="Times New Roman" w:hAnsi="Times New Roman" w:cs="Times New Roman"/>
          <w:b w:val="0"/>
          <w:bCs w:val="0"/>
          <w:sz w:val="24"/>
          <w:szCs w:val="24"/>
        </w:rPr>
        <w:t>5,904,000</w:t>
      </w:r>
      <w:r>
        <w:rPr>
          <w:rFonts w:ascii="Times New Roman" w:hAnsi="Times New Roman" w:cs="Times New Roman"/>
          <w:b w:val="0"/>
          <w:bCs w:val="0"/>
          <w:sz w:val="24"/>
          <w:szCs w:val="24"/>
        </w:rPr>
        <w:t>元。变更后的公司注册资本为人民币</w:t>
      </w:r>
      <w:r>
        <w:rPr>
          <w:rFonts w:hint="eastAsia" w:ascii="Times New Roman" w:hAnsi="Times New Roman" w:cs="Times New Roman"/>
          <w:b w:val="0"/>
          <w:bCs w:val="0"/>
          <w:sz w:val="24"/>
          <w:szCs w:val="24"/>
        </w:rPr>
        <w:t>687,810,000</w:t>
      </w:r>
      <w:r>
        <w:rPr>
          <w:rFonts w:ascii="Times New Roman" w:hAnsi="Times New Roman" w:cs="Times New Roman"/>
          <w:b w:val="0"/>
          <w:bCs w:val="0"/>
          <w:sz w:val="24"/>
          <w:szCs w:val="24"/>
        </w:rPr>
        <w:t>元，股本为人民币</w:t>
      </w:r>
      <w:r>
        <w:rPr>
          <w:rFonts w:hint="eastAsia" w:ascii="Times New Roman" w:hAnsi="Times New Roman" w:cs="Times New Roman"/>
          <w:b w:val="0"/>
          <w:bCs w:val="0"/>
          <w:sz w:val="24"/>
          <w:szCs w:val="24"/>
        </w:rPr>
        <w:t>687,810,000</w:t>
      </w:r>
      <w:r>
        <w:rPr>
          <w:rFonts w:ascii="Times New Roman" w:hAnsi="Times New Roman" w:cs="Times New Roman"/>
          <w:b w:val="0"/>
          <w:bCs w:val="0"/>
          <w:sz w:val="24"/>
          <w:szCs w:val="24"/>
        </w:rPr>
        <w:t>元。</w:t>
      </w:r>
    </w:p>
    <w:p>
      <w:pPr>
        <w:pStyle w:val="8"/>
        <w:spacing w:line="360" w:lineRule="auto"/>
        <w:ind w:firstLine="482" w:firstLineChars="200"/>
        <w:jc w:val="left"/>
        <w:rPr>
          <w:rFonts w:ascii="宋体" w:hAnsi="宋体" w:cstheme="minorBidi"/>
          <w:bCs w:val="0"/>
          <w:sz w:val="24"/>
          <w:szCs w:val="24"/>
        </w:rPr>
      </w:pPr>
      <w:r>
        <w:rPr>
          <w:rFonts w:hint="eastAsia" w:ascii="宋体" w:hAnsi="宋体" w:cstheme="minorBidi"/>
          <w:bCs w:val="0"/>
          <w:sz w:val="24"/>
          <w:szCs w:val="24"/>
        </w:rPr>
        <w:t>四、限制性股票的登记情况</w:t>
      </w:r>
    </w:p>
    <w:p>
      <w:pPr>
        <w:spacing w:line="360" w:lineRule="auto"/>
        <w:ind w:firstLine="470" w:firstLineChars="196"/>
        <w:rPr>
          <w:rFonts w:ascii="Times New Roman" w:hAnsi="Times New Roman" w:eastAsia="宋体" w:cs="Times New Roman"/>
          <w:sz w:val="24"/>
          <w:szCs w:val="24"/>
        </w:rPr>
      </w:pPr>
      <w:r>
        <w:rPr>
          <w:rFonts w:ascii="Times New Roman" w:hAnsi="Times New Roman" w:eastAsia="宋体" w:cs="Times New Roman"/>
          <w:sz w:val="24"/>
          <w:szCs w:val="24"/>
        </w:rPr>
        <w:t>本次激励计划</w:t>
      </w:r>
      <w:r>
        <w:rPr>
          <w:rFonts w:hint="eastAsia" w:ascii="Times New Roman" w:hAnsi="Times New Roman" w:eastAsia="宋体" w:cs="Times New Roman"/>
          <w:sz w:val="24"/>
          <w:szCs w:val="24"/>
        </w:rPr>
        <w:t>的预留部分</w:t>
      </w:r>
      <w:r>
        <w:rPr>
          <w:rFonts w:ascii="Times New Roman" w:hAnsi="Times New Roman" w:eastAsia="宋体" w:cs="Times New Roman"/>
          <w:sz w:val="24"/>
          <w:szCs w:val="24"/>
        </w:rPr>
        <w:t>授予登记的限制性股票共计6</w:t>
      </w:r>
      <w:r>
        <w:rPr>
          <w:rFonts w:hint="eastAsia" w:ascii="Times New Roman" w:hAnsi="Times New Roman" w:eastAsia="宋体" w:cs="Times New Roman"/>
          <w:sz w:val="24"/>
          <w:szCs w:val="24"/>
        </w:rPr>
        <w:t>0</w:t>
      </w:r>
      <w:r>
        <w:rPr>
          <w:rFonts w:ascii="Times New Roman" w:hAnsi="Times New Roman" w:eastAsia="宋体" w:cs="Times New Roman"/>
          <w:sz w:val="24"/>
          <w:szCs w:val="24"/>
        </w:rPr>
        <w:t>0,000股，于201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9</w:t>
      </w:r>
      <w:r>
        <w:rPr>
          <w:rFonts w:ascii="Times New Roman" w:hAnsi="Times New Roman" w:eastAsia="宋体" w:cs="Times New Roman"/>
          <w:sz w:val="24"/>
          <w:szCs w:val="24"/>
        </w:rPr>
        <w:t>日在中证登上海分公司完成登记工作，中证登上海分公司出具《证券变更登记证明》。</w:t>
      </w:r>
    </w:p>
    <w:p>
      <w:pPr>
        <w:pStyle w:val="8"/>
        <w:spacing w:line="360" w:lineRule="auto"/>
        <w:ind w:firstLine="482" w:firstLineChars="200"/>
        <w:jc w:val="left"/>
        <w:rPr>
          <w:sz w:val="24"/>
          <w:szCs w:val="24"/>
        </w:rPr>
      </w:pPr>
      <w:r>
        <w:rPr>
          <w:rFonts w:hint="eastAsia"/>
          <w:sz w:val="24"/>
          <w:szCs w:val="24"/>
        </w:rPr>
        <w:t>五、授予前后对公司控股股东及实际控制人的影响</w:t>
      </w:r>
    </w:p>
    <w:p>
      <w:pPr>
        <w:spacing w:line="360" w:lineRule="auto"/>
        <w:ind w:firstLine="470" w:firstLineChars="196"/>
        <w:rPr>
          <w:sz w:val="24"/>
          <w:szCs w:val="24"/>
        </w:rPr>
      </w:pPr>
      <w:r>
        <w:rPr>
          <w:rFonts w:hint="eastAsia"/>
          <w:sz w:val="24"/>
          <w:szCs w:val="24"/>
        </w:rPr>
        <w:t>本次预留部分限制性股票授予完成后，</w:t>
      </w:r>
      <w:r>
        <w:rPr>
          <w:rFonts w:ascii="Times New Roman" w:hAnsi="Times New Roman" w:cs="Times New Roman"/>
          <w:sz w:val="24"/>
          <w:szCs w:val="24"/>
        </w:rPr>
        <w:t>公司股</w:t>
      </w:r>
      <w:r>
        <w:rPr>
          <w:rFonts w:hint="eastAsia" w:ascii="Times New Roman" w:hAnsi="Times New Roman" w:cs="Times New Roman"/>
          <w:sz w:val="24"/>
          <w:szCs w:val="24"/>
        </w:rPr>
        <w:t>本</w:t>
      </w:r>
      <w:r>
        <w:rPr>
          <w:rFonts w:ascii="Times New Roman" w:hAnsi="Times New Roman" w:cs="Times New Roman"/>
          <w:sz w:val="24"/>
          <w:szCs w:val="24"/>
        </w:rPr>
        <w:t>总数由68</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21</w:t>
      </w:r>
      <w:r>
        <w:rPr>
          <w:rFonts w:ascii="Times New Roman" w:hAnsi="Times New Roman" w:cs="Times New Roman"/>
          <w:sz w:val="24"/>
          <w:szCs w:val="24"/>
        </w:rPr>
        <w:t>0,000股增加至68</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81</w:t>
      </w:r>
      <w:r>
        <w:rPr>
          <w:rFonts w:ascii="Times New Roman" w:hAnsi="Times New Roman" w:cs="Times New Roman"/>
          <w:sz w:val="24"/>
          <w:szCs w:val="24"/>
        </w:rPr>
        <w:t>0,000股。</w:t>
      </w:r>
      <w:r>
        <w:rPr>
          <w:rFonts w:hint="eastAsia"/>
          <w:sz w:val="24"/>
          <w:szCs w:val="24"/>
        </w:rPr>
        <w:t>公司控股股东伟明集团有限公司及实际控制人</w:t>
      </w:r>
      <w:r>
        <w:rPr>
          <w:sz w:val="24"/>
          <w:szCs w:val="24"/>
        </w:rPr>
        <w:t>项光明、王素勤、朱善玉和朱善银</w:t>
      </w:r>
      <w:r>
        <w:rPr>
          <w:rFonts w:hint="eastAsia"/>
          <w:sz w:val="24"/>
          <w:szCs w:val="24"/>
        </w:rPr>
        <w:t>授予前后持股变动如下：</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559"/>
        <w:gridCol w:w="155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Merge w:val="restart"/>
            <w:shd w:val="clear" w:color="auto" w:fill="BEBEBE" w:themeFill="background1" w:themeFillShade="BF"/>
            <w:vAlign w:val="center"/>
          </w:tcPr>
          <w:p>
            <w:pPr>
              <w:pStyle w:val="19"/>
              <w:jc w:val="center"/>
              <w:rPr>
                <w:rFonts w:ascii="Times New Roman" w:eastAsia="宋体" w:cs="Times New Roman"/>
                <w:b/>
                <w:sz w:val="21"/>
                <w:szCs w:val="21"/>
              </w:rPr>
            </w:pPr>
          </w:p>
        </w:tc>
        <w:tc>
          <w:tcPr>
            <w:tcW w:w="3402" w:type="dxa"/>
            <w:gridSpan w:val="2"/>
            <w:shd w:val="clear" w:color="auto" w:fill="BEBEBE" w:themeFill="background1" w:themeFillShade="BF"/>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授予前</w:t>
            </w:r>
          </w:p>
        </w:tc>
        <w:tc>
          <w:tcPr>
            <w:tcW w:w="3169" w:type="dxa"/>
            <w:gridSpan w:val="2"/>
            <w:shd w:val="clear" w:color="auto" w:fill="BEBEBE" w:themeFill="background1" w:themeFillShade="BF"/>
            <w:vAlign w:val="center"/>
          </w:tcPr>
          <w:p>
            <w:pPr>
              <w:pStyle w:val="19"/>
              <w:jc w:val="center"/>
              <w:rPr>
                <w:rFonts w:ascii="Times New Roman" w:eastAsia="宋体" w:cs="Times New Roman"/>
                <w:b/>
                <w:bCs/>
                <w:sz w:val="21"/>
                <w:szCs w:val="21"/>
              </w:rPr>
            </w:pPr>
            <w:r>
              <w:rPr>
                <w:rFonts w:ascii="Times New Roman" w:eastAsia="宋体" w:cs="Times New Roman"/>
                <w:b/>
                <w:bCs/>
                <w:sz w:val="21"/>
                <w:szCs w:val="21"/>
              </w:rPr>
              <w:t>授予后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Merge w:val="continue"/>
            <w:shd w:val="clear" w:color="auto" w:fill="BEBEBE" w:themeFill="background1" w:themeFillShade="BF"/>
            <w:vAlign w:val="center"/>
          </w:tcPr>
          <w:p>
            <w:pPr>
              <w:pStyle w:val="19"/>
              <w:jc w:val="center"/>
              <w:rPr>
                <w:rFonts w:ascii="Times New Roman" w:eastAsia="宋体" w:cs="Times New Roman"/>
                <w:b/>
                <w:sz w:val="21"/>
                <w:szCs w:val="21"/>
              </w:rPr>
            </w:pPr>
          </w:p>
        </w:tc>
        <w:tc>
          <w:tcPr>
            <w:tcW w:w="1843"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持股数量</w:t>
            </w:r>
            <w:r>
              <w:rPr>
                <w:rFonts w:hint="eastAsia" w:ascii="Times New Roman" w:hAnsi="Times New Roman" w:eastAsia="宋体" w:cs="Times New Roman"/>
                <w:b/>
                <w:szCs w:val="21"/>
              </w:rPr>
              <w:t>（股）</w:t>
            </w:r>
          </w:p>
        </w:tc>
        <w:tc>
          <w:tcPr>
            <w:tcW w:w="1559"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持股比例</w:t>
            </w:r>
          </w:p>
        </w:tc>
        <w:tc>
          <w:tcPr>
            <w:tcW w:w="1559" w:type="dxa"/>
            <w:shd w:val="clear" w:color="auto" w:fill="BEBEBE" w:themeFill="background1" w:themeFillShade="BF"/>
            <w:vAlign w:val="center"/>
          </w:tcPr>
          <w:p>
            <w:pPr>
              <w:pStyle w:val="19"/>
              <w:jc w:val="center"/>
              <w:rPr>
                <w:rFonts w:ascii="Times New Roman" w:eastAsia="宋体" w:cs="Times New Roman"/>
                <w:b/>
                <w:sz w:val="21"/>
                <w:szCs w:val="21"/>
              </w:rPr>
            </w:pPr>
            <w:r>
              <w:rPr>
                <w:rFonts w:ascii="Times New Roman" w:eastAsia="宋体" w:cs="Times New Roman"/>
                <w:b/>
                <w:sz w:val="21"/>
                <w:szCs w:val="21"/>
              </w:rPr>
              <w:t>持股数量</w:t>
            </w:r>
            <w:r>
              <w:rPr>
                <w:rFonts w:hint="eastAsia" w:ascii="Times New Roman" w:eastAsia="宋体" w:cs="Times New Roman"/>
                <w:b/>
                <w:sz w:val="21"/>
                <w:szCs w:val="21"/>
              </w:rPr>
              <w:t>（股）</w:t>
            </w:r>
          </w:p>
        </w:tc>
        <w:tc>
          <w:tcPr>
            <w:tcW w:w="1610" w:type="dxa"/>
            <w:shd w:val="clear" w:color="auto" w:fill="BEBEBE" w:themeFill="background1" w:themeFillShade="BF"/>
            <w:vAlign w:val="center"/>
          </w:tcPr>
          <w:p>
            <w:pPr>
              <w:pStyle w:val="19"/>
              <w:jc w:val="center"/>
              <w:rPr>
                <w:rFonts w:ascii="Times New Roman" w:eastAsia="宋体" w:cs="Times New Roman"/>
                <w:b/>
                <w:sz w:val="21"/>
                <w:szCs w:val="21"/>
              </w:rPr>
            </w:pPr>
            <w:r>
              <w:rPr>
                <w:rFonts w:ascii="Times New Roman" w:eastAsia="宋体" w:cs="Times New Roman"/>
                <w:b/>
                <w:sz w:val="21"/>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控股股东</w:t>
            </w:r>
          </w:p>
        </w:tc>
        <w:tc>
          <w:tcPr>
            <w:tcW w:w="1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305,226,000</w:t>
            </w:r>
          </w:p>
        </w:tc>
        <w:tc>
          <w:tcPr>
            <w:tcW w:w="1559"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44.42%</w:t>
            </w:r>
          </w:p>
        </w:tc>
        <w:tc>
          <w:tcPr>
            <w:tcW w:w="155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305,226,000</w:t>
            </w:r>
          </w:p>
        </w:tc>
        <w:tc>
          <w:tcPr>
            <w:tcW w:w="161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44.38%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实际控制人</w:t>
            </w:r>
            <w:r>
              <w:rPr>
                <w:rFonts w:hint="eastAsia" w:ascii="Times New Roman" w:hAnsi="Times New Roman" w:eastAsia="宋体" w:cs="Times New Roman"/>
                <w:szCs w:val="21"/>
              </w:rPr>
              <w:t>（直接持股与间接控制公司持股合计数）</w:t>
            </w:r>
          </w:p>
        </w:tc>
        <w:tc>
          <w:tcPr>
            <w:tcW w:w="184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527,277</w:t>
            </w:r>
            <w:r>
              <w:rPr>
                <w:rFonts w:ascii="Times New Roman" w:hAnsi="Times New Roman" w:eastAsia="宋体" w:cs="Times New Roman"/>
                <w:szCs w:val="21"/>
              </w:rPr>
              <w:t>,058</w:t>
            </w:r>
          </w:p>
        </w:tc>
        <w:tc>
          <w:tcPr>
            <w:tcW w:w="1559"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76.73%</w:t>
            </w:r>
          </w:p>
        </w:tc>
        <w:tc>
          <w:tcPr>
            <w:tcW w:w="1559"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527,277</w:t>
            </w:r>
            <w:r>
              <w:rPr>
                <w:rFonts w:ascii="Times New Roman" w:hAnsi="Times New Roman" w:eastAsia="宋体" w:cs="Times New Roman"/>
                <w:szCs w:val="21"/>
              </w:rPr>
              <w:t>,058</w:t>
            </w:r>
          </w:p>
        </w:tc>
        <w:tc>
          <w:tcPr>
            <w:tcW w:w="161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76.66%</w:t>
            </w:r>
          </w:p>
        </w:tc>
      </w:tr>
    </w:tbl>
    <w:p>
      <w:pPr>
        <w:spacing w:line="360" w:lineRule="auto"/>
        <w:ind w:firstLine="470" w:firstLineChars="196"/>
        <w:rPr>
          <w:sz w:val="24"/>
          <w:szCs w:val="24"/>
        </w:rPr>
      </w:pPr>
      <w:r>
        <w:rPr>
          <w:rFonts w:hint="eastAsia"/>
          <w:sz w:val="24"/>
          <w:szCs w:val="24"/>
        </w:rPr>
        <w:t>本次授予不会导致公司控股股东及实际控制人发生变更。</w:t>
      </w:r>
    </w:p>
    <w:p>
      <w:pPr>
        <w:pStyle w:val="8"/>
        <w:spacing w:line="360" w:lineRule="auto"/>
        <w:ind w:firstLine="482" w:firstLineChars="200"/>
        <w:jc w:val="left"/>
        <w:rPr>
          <w:sz w:val="24"/>
          <w:szCs w:val="24"/>
        </w:rPr>
      </w:pPr>
      <w:r>
        <w:rPr>
          <w:rFonts w:hint="eastAsia"/>
          <w:sz w:val="24"/>
          <w:szCs w:val="24"/>
        </w:rPr>
        <w:t>六、股权结构变动情况</w:t>
      </w:r>
    </w:p>
    <w:tbl>
      <w:tblPr>
        <w:tblStyle w:val="13"/>
        <w:tblW w:w="7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784"/>
        <w:gridCol w:w="195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803"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类别</w:t>
            </w:r>
          </w:p>
        </w:tc>
        <w:tc>
          <w:tcPr>
            <w:tcW w:w="1784"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变动前</w:t>
            </w:r>
            <w:r>
              <w:rPr>
                <w:rFonts w:hint="eastAsia" w:ascii="Times New Roman" w:hAnsi="Times New Roman" w:eastAsia="宋体" w:cs="Times New Roman"/>
                <w:b/>
                <w:szCs w:val="21"/>
              </w:rPr>
              <w:t>（股）</w:t>
            </w:r>
          </w:p>
        </w:tc>
        <w:tc>
          <w:tcPr>
            <w:tcW w:w="1959"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本次变动</w:t>
            </w:r>
            <w:r>
              <w:rPr>
                <w:rFonts w:hint="eastAsia" w:ascii="Times New Roman" w:hAnsi="Times New Roman" w:eastAsia="宋体" w:cs="Times New Roman"/>
                <w:b/>
                <w:szCs w:val="21"/>
              </w:rPr>
              <w:t>（股）</w:t>
            </w:r>
          </w:p>
        </w:tc>
        <w:tc>
          <w:tcPr>
            <w:tcW w:w="1960" w:type="dxa"/>
            <w:shd w:val="clear" w:color="auto" w:fill="BEBEBE" w:themeFill="background1" w:themeFillShade="BF"/>
            <w:vAlign w:val="center"/>
          </w:tcPr>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变动后</w:t>
            </w:r>
            <w:r>
              <w:rPr>
                <w:rFonts w:hint="eastAsia" w:ascii="Times New Roman" w:hAnsi="Times New Roman" w:eastAsia="宋体" w:cs="Times New Roman"/>
                <w:b/>
                <w:szCs w:val="21"/>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80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有限售条件股份</w:t>
            </w:r>
          </w:p>
        </w:tc>
        <w:tc>
          <w:tcPr>
            <w:tcW w:w="1784"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556,572,000</w:t>
            </w:r>
          </w:p>
        </w:tc>
        <w:tc>
          <w:tcPr>
            <w:tcW w:w="1959"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600,000</w:t>
            </w:r>
          </w:p>
        </w:tc>
        <w:tc>
          <w:tcPr>
            <w:tcW w:w="196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557,172,000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180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无限售条件股份</w:t>
            </w:r>
          </w:p>
        </w:tc>
        <w:tc>
          <w:tcPr>
            <w:tcW w:w="178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130,638,000</w:t>
            </w:r>
          </w:p>
        </w:tc>
        <w:tc>
          <w:tcPr>
            <w:tcW w:w="195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w:t>
            </w:r>
          </w:p>
        </w:tc>
        <w:tc>
          <w:tcPr>
            <w:tcW w:w="1960"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130,638,000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80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总计</w:t>
            </w:r>
          </w:p>
        </w:tc>
        <w:tc>
          <w:tcPr>
            <w:tcW w:w="1784"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687,210,000</w:t>
            </w:r>
          </w:p>
        </w:tc>
        <w:tc>
          <w:tcPr>
            <w:tcW w:w="1959"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600,000</w:t>
            </w:r>
          </w:p>
        </w:tc>
        <w:tc>
          <w:tcPr>
            <w:tcW w:w="196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687,810,000</w:t>
            </w:r>
          </w:p>
        </w:tc>
      </w:tr>
    </w:tbl>
    <w:p>
      <w:pPr>
        <w:spacing w:line="360" w:lineRule="auto"/>
        <w:ind w:firstLine="470" w:firstLineChars="196"/>
        <w:rPr>
          <w:rFonts w:ascii="宋体" w:hAnsi="宋体" w:eastAsia="宋体"/>
          <w:szCs w:val="21"/>
        </w:rPr>
      </w:pPr>
      <w:r>
        <w:rPr>
          <w:rFonts w:hint="eastAsia" w:ascii="Times New Roman" w:hAnsi="Times New Roman" w:eastAsia="宋体" w:cs="Times New Roman"/>
          <w:sz w:val="24"/>
          <w:szCs w:val="24"/>
        </w:rPr>
        <w:t>本次预留部分限制性股票授予完成后，公司股权分布仍具备上市条件。</w:t>
      </w:r>
    </w:p>
    <w:p>
      <w:pPr>
        <w:pStyle w:val="8"/>
        <w:spacing w:line="360" w:lineRule="auto"/>
        <w:ind w:firstLine="482" w:firstLineChars="200"/>
        <w:jc w:val="left"/>
        <w:rPr>
          <w:sz w:val="24"/>
          <w:szCs w:val="24"/>
        </w:rPr>
      </w:pPr>
      <w:r>
        <w:rPr>
          <w:rFonts w:hint="eastAsia"/>
          <w:sz w:val="24"/>
          <w:szCs w:val="24"/>
        </w:rPr>
        <w:t>七、本次募集资金使用计划</w:t>
      </w:r>
    </w:p>
    <w:p>
      <w:pPr>
        <w:spacing w:line="360" w:lineRule="auto"/>
        <w:ind w:firstLine="470" w:firstLineChars="196"/>
        <w:rPr>
          <w:rFonts w:ascii="Times New Roman" w:hAnsi="Times New Roman" w:eastAsia="宋体" w:cs="Times New Roman"/>
          <w:sz w:val="24"/>
          <w:szCs w:val="24"/>
        </w:rPr>
      </w:pPr>
      <w:r>
        <w:rPr>
          <w:rFonts w:hint="eastAsia" w:ascii="Times New Roman" w:hAnsi="Times New Roman" w:eastAsia="宋体" w:cs="Times New Roman"/>
          <w:sz w:val="24"/>
          <w:szCs w:val="24"/>
        </w:rPr>
        <w:t>本次增发限制性股票所筹集资金将全部用于补充公司流动资金。</w:t>
      </w:r>
    </w:p>
    <w:p>
      <w:pPr>
        <w:pStyle w:val="8"/>
        <w:spacing w:line="360" w:lineRule="auto"/>
        <w:ind w:firstLine="482" w:firstLineChars="200"/>
        <w:jc w:val="left"/>
        <w:rPr>
          <w:sz w:val="24"/>
          <w:szCs w:val="24"/>
        </w:rPr>
      </w:pPr>
      <w:r>
        <w:rPr>
          <w:rFonts w:hint="eastAsia"/>
          <w:sz w:val="24"/>
          <w:szCs w:val="24"/>
        </w:rPr>
        <w:t>八</w:t>
      </w:r>
      <w:r>
        <w:rPr>
          <w:sz w:val="24"/>
          <w:szCs w:val="24"/>
        </w:rPr>
        <w:t>、</w:t>
      </w:r>
      <w:r>
        <w:rPr>
          <w:rFonts w:hint="eastAsia"/>
          <w:sz w:val="24"/>
          <w:szCs w:val="24"/>
        </w:rPr>
        <w:t>本次授予后新增股份对最近一期财务报告的影响</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根据《企业会计准则第11号</w:t>
      </w:r>
      <w:r>
        <w:rPr>
          <w:rFonts w:ascii="宋体" w:hAnsi="宋体" w:eastAsia="宋体" w:cs="Times New Roman"/>
          <w:sz w:val="24"/>
          <w:szCs w:val="24"/>
        </w:rPr>
        <w:t>—</w:t>
      </w:r>
      <w:r>
        <w:rPr>
          <w:rFonts w:ascii="Times New Roman" w:hAnsi="Times New Roman" w:eastAsia="宋体" w:cs="Times New Roman"/>
          <w:sz w:val="24"/>
          <w:szCs w:val="24"/>
        </w:rPr>
        <w:t>股份支付》</w:t>
      </w:r>
      <w:r>
        <w:rPr>
          <w:rFonts w:hint="eastAsia" w:ascii="Times New Roman" w:hAnsi="Times New Roman" w:eastAsia="宋体" w:cs="Times New Roman"/>
          <w:sz w:val="24"/>
          <w:szCs w:val="24"/>
        </w:rPr>
        <w:t>和《企业会计准则第22号—金融工具确认和计量》中关于公允价值确定的相关</w:t>
      </w:r>
      <w:r>
        <w:rPr>
          <w:rFonts w:ascii="Times New Roman" w:hAnsi="Times New Roman" w:eastAsia="宋体" w:cs="Times New Roman"/>
          <w:sz w:val="24"/>
          <w:szCs w:val="24"/>
        </w:rPr>
        <w:t>规定，企业需要选择适当的估值模型对限制性股票的公允价值进行计算。董事会已确定激励计划的授予日为2017年</w:t>
      </w:r>
      <w:r>
        <w:rPr>
          <w:rFonts w:hint="eastAsia" w:ascii="Times New Roman" w:hAnsi="Times New Roman" w:eastAsia="宋体" w:cs="Times New Roman"/>
          <w:sz w:val="24"/>
          <w:szCs w:val="24"/>
        </w:rPr>
        <w:t>11</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日，在2017年</w:t>
      </w:r>
      <w:r>
        <w:rPr>
          <w:rFonts w:hint="eastAsia" w:ascii="Times New Roman" w:hAnsi="Times New Roman" w:eastAsia="宋体" w:cs="Times New Roman"/>
          <w:sz w:val="24"/>
          <w:szCs w:val="24"/>
        </w:rPr>
        <w:t>至</w:t>
      </w:r>
      <w:r>
        <w:rPr>
          <w:rFonts w:ascii="Times New Roman" w:hAnsi="Times New Roman" w:eastAsia="宋体" w:cs="Times New Roman"/>
          <w:sz w:val="24"/>
          <w:szCs w:val="24"/>
        </w:rPr>
        <w:t>2020年将按照各期限制性股票的解除限售比例和授予日限制性股票的公允价值总额分期确认限制性股票激励成本。激励计划限制性股票激励成本将在管理费用</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中列支。</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经测算，本次登记完成的</w:t>
      </w:r>
      <w:r>
        <w:rPr>
          <w:rFonts w:hint="eastAsia" w:ascii="Times New Roman" w:hAnsi="Times New Roman" w:eastAsia="宋体" w:cs="Times New Roman"/>
          <w:sz w:val="24"/>
          <w:szCs w:val="24"/>
        </w:rPr>
        <w:t>60万股</w:t>
      </w:r>
      <w:r>
        <w:rPr>
          <w:rFonts w:ascii="Times New Roman" w:hAnsi="Times New Roman" w:eastAsia="宋体" w:cs="Times New Roman"/>
          <w:sz w:val="24"/>
          <w:szCs w:val="24"/>
        </w:rPr>
        <w:t>限制性股票激励成本合计为</w:t>
      </w:r>
      <w:r>
        <w:rPr>
          <w:rFonts w:hint="eastAsia" w:ascii="Times New Roman" w:hAnsi="Times New Roman" w:eastAsia="宋体" w:cs="Times New Roman"/>
          <w:sz w:val="24"/>
          <w:szCs w:val="24"/>
        </w:rPr>
        <w:t>294.53</w:t>
      </w:r>
      <w:r>
        <w:rPr>
          <w:rFonts w:ascii="Times New Roman" w:hAnsi="Times New Roman" w:eastAsia="宋体" w:cs="Times New Roman"/>
          <w:sz w:val="24"/>
          <w:szCs w:val="24"/>
        </w:rPr>
        <w:t>万元，则2017年</w:t>
      </w:r>
      <w:r>
        <w:rPr>
          <w:rFonts w:hint="eastAsia" w:ascii="Times New Roman" w:hAnsi="Times New Roman" w:eastAsia="宋体" w:cs="Times New Roman"/>
          <w:sz w:val="24"/>
          <w:szCs w:val="24"/>
        </w:rPr>
        <w:t>至</w:t>
      </w:r>
      <w:r>
        <w:rPr>
          <w:rFonts w:ascii="Times New Roman" w:hAnsi="Times New Roman" w:eastAsia="宋体" w:cs="Times New Roman"/>
          <w:sz w:val="24"/>
          <w:szCs w:val="24"/>
        </w:rPr>
        <w:t>2020年限制性股票成本摊销情况见下表：</w:t>
      </w:r>
    </w:p>
    <w:tbl>
      <w:tblPr>
        <w:tblStyle w:val="14"/>
        <w:tblW w:w="823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08"/>
        <w:gridCol w:w="1542"/>
        <w:gridCol w:w="1262"/>
        <w:gridCol w:w="1236"/>
        <w:gridCol w:w="1194"/>
        <w:gridCol w:w="11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trPr>
        <w:tc>
          <w:tcPr>
            <w:tcW w:w="1808" w:type="dxa"/>
            <w:shd w:val="clear" w:color="auto" w:fill="BEBEBE" w:themeFill="background1" w:themeFillShade="BF"/>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授予的限制性股票（万股）</w:t>
            </w:r>
          </w:p>
        </w:tc>
        <w:tc>
          <w:tcPr>
            <w:tcW w:w="1542" w:type="dxa"/>
            <w:shd w:val="clear" w:color="auto" w:fill="BEBEBE" w:themeFill="background1" w:themeFillShade="BF"/>
            <w:vAlign w:val="center"/>
          </w:tcPr>
          <w:p>
            <w:pPr>
              <w:spacing w:before="156" w:beforeLines="50" w:after="156" w:afterLines="50"/>
              <w:jc w:val="center"/>
              <w:rPr>
                <w:rFonts w:ascii="Times New Roman" w:hAnsi="Times New Roman" w:eastAsia="宋体" w:cs="Times New Roman"/>
                <w:b/>
                <w:bCs/>
                <w:szCs w:val="21"/>
              </w:rPr>
            </w:pPr>
            <w:r>
              <w:rPr>
                <w:rFonts w:hint="eastAsia" w:ascii="Times New Roman" w:hAnsi="Times New Roman" w:eastAsia="宋体" w:cs="Times New Roman"/>
                <w:b/>
                <w:bCs/>
                <w:szCs w:val="21"/>
              </w:rPr>
              <w:t>需摊销的总费用</w:t>
            </w:r>
            <w:r>
              <w:rPr>
                <w:rFonts w:ascii="Times New Roman" w:hAnsi="Times New Roman" w:eastAsia="宋体" w:cs="Times New Roman"/>
                <w:b/>
                <w:bCs/>
                <w:szCs w:val="21"/>
              </w:rPr>
              <w:t>（万元）</w:t>
            </w:r>
          </w:p>
        </w:tc>
        <w:tc>
          <w:tcPr>
            <w:tcW w:w="1262" w:type="dxa"/>
            <w:shd w:val="clear" w:color="auto" w:fill="BEBEBE" w:themeFill="background1" w:themeFillShade="BF"/>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2017年</w:t>
            </w:r>
          </w:p>
          <w:p>
            <w:pPr>
              <w:jc w:val="center"/>
              <w:rPr>
                <w:rFonts w:ascii="Times New Roman" w:hAnsi="Times New Roman" w:eastAsia="宋体" w:cs="Times New Roman"/>
                <w:b/>
                <w:bCs/>
                <w:szCs w:val="21"/>
              </w:rPr>
            </w:pPr>
            <w:r>
              <w:rPr>
                <w:rFonts w:ascii="Times New Roman" w:hAnsi="Times New Roman" w:eastAsia="宋体" w:cs="Times New Roman"/>
                <w:b/>
                <w:bCs/>
                <w:szCs w:val="21"/>
              </w:rPr>
              <w:t>（万元）</w:t>
            </w:r>
          </w:p>
        </w:tc>
        <w:tc>
          <w:tcPr>
            <w:tcW w:w="1236" w:type="dxa"/>
            <w:shd w:val="clear" w:color="auto" w:fill="BEBEBE" w:themeFill="background1" w:themeFillShade="BF"/>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2018年</w:t>
            </w:r>
          </w:p>
          <w:p>
            <w:pPr>
              <w:jc w:val="center"/>
              <w:rPr>
                <w:rFonts w:ascii="Times New Roman" w:hAnsi="Times New Roman" w:eastAsia="宋体" w:cs="Times New Roman"/>
                <w:b/>
                <w:bCs/>
                <w:szCs w:val="21"/>
              </w:rPr>
            </w:pPr>
            <w:r>
              <w:rPr>
                <w:rFonts w:ascii="Times New Roman" w:hAnsi="Times New Roman" w:eastAsia="宋体" w:cs="Times New Roman"/>
                <w:b/>
                <w:bCs/>
                <w:szCs w:val="21"/>
              </w:rPr>
              <w:t>（万元）</w:t>
            </w:r>
          </w:p>
        </w:tc>
        <w:tc>
          <w:tcPr>
            <w:tcW w:w="1194" w:type="dxa"/>
            <w:shd w:val="clear" w:color="auto" w:fill="BEBEBE" w:themeFill="background1" w:themeFillShade="BF"/>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2019年</w:t>
            </w:r>
          </w:p>
          <w:p>
            <w:pPr>
              <w:jc w:val="center"/>
              <w:rPr>
                <w:rFonts w:ascii="Times New Roman" w:hAnsi="Times New Roman" w:eastAsia="宋体" w:cs="Times New Roman"/>
                <w:b/>
                <w:bCs/>
                <w:szCs w:val="21"/>
              </w:rPr>
            </w:pPr>
            <w:r>
              <w:rPr>
                <w:rFonts w:ascii="Times New Roman" w:hAnsi="Times New Roman" w:eastAsia="宋体" w:cs="Times New Roman"/>
                <w:b/>
                <w:bCs/>
                <w:szCs w:val="21"/>
              </w:rPr>
              <w:t>（万元）</w:t>
            </w:r>
          </w:p>
        </w:tc>
        <w:tc>
          <w:tcPr>
            <w:tcW w:w="1194" w:type="dxa"/>
            <w:shd w:val="clear" w:color="auto" w:fill="BEBEBE" w:themeFill="background1" w:themeFillShade="BF"/>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2020年</w:t>
            </w:r>
          </w:p>
          <w:p>
            <w:pPr>
              <w:jc w:val="center"/>
              <w:rPr>
                <w:rFonts w:ascii="Times New Roman" w:hAnsi="Times New Roman" w:eastAsia="宋体" w:cs="Times New Roman"/>
                <w:b/>
                <w:bCs/>
                <w:szCs w:val="21"/>
              </w:rPr>
            </w:pPr>
            <w:r>
              <w:rPr>
                <w:rFonts w:ascii="Times New Roman" w:hAnsi="Times New Roman" w:eastAsia="宋体" w:cs="Times New Roman"/>
                <w:b/>
                <w:bCs/>
                <w:szCs w:val="21"/>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trPr>
        <w:tc>
          <w:tcPr>
            <w:tcW w:w="1808" w:type="dxa"/>
            <w:shd w:val="clear" w:color="auto" w:fill="auto"/>
            <w:vAlign w:val="center"/>
          </w:tcPr>
          <w:p>
            <w:pPr>
              <w:spacing w:line="360" w:lineRule="auto"/>
              <w:jc w:val="center"/>
              <w:rPr>
                <w:rFonts w:ascii="Times New Roman" w:hAnsi="Times New Roman" w:eastAsia="宋体" w:cs="Times New Roman"/>
                <w:sz w:val="23"/>
                <w:szCs w:val="23"/>
              </w:rPr>
            </w:pPr>
            <w:r>
              <w:rPr>
                <w:rFonts w:hint="eastAsia" w:ascii="Times New Roman" w:hAnsi="Times New Roman" w:eastAsia="宋体" w:cs="Times New Roman"/>
                <w:sz w:val="23"/>
                <w:szCs w:val="23"/>
              </w:rPr>
              <w:t>60</w:t>
            </w:r>
          </w:p>
        </w:tc>
        <w:tc>
          <w:tcPr>
            <w:tcW w:w="1542" w:type="dxa"/>
            <w:shd w:val="clear" w:color="auto" w:fill="auto"/>
            <w:vAlign w:val="center"/>
          </w:tcPr>
          <w:p>
            <w:pPr>
              <w:spacing w:line="360" w:lineRule="auto"/>
              <w:jc w:val="center"/>
              <w:rPr>
                <w:rFonts w:ascii="Times New Roman" w:hAnsi="Times New Roman" w:eastAsia="宋体" w:cs="Times New Roman"/>
                <w:color w:val="000000" w:themeColor="text1"/>
                <w:sz w:val="23"/>
                <w:szCs w:val="23"/>
              </w:rPr>
            </w:pPr>
            <w:r>
              <w:rPr>
                <w:rFonts w:hint="eastAsia" w:ascii="Times New Roman" w:hAnsi="Times New Roman" w:eastAsia="宋体" w:cs="Times New Roman"/>
                <w:color w:val="000000" w:themeColor="text1"/>
                <w:sz w:val="23"/>
                <w:szCs w:val="23"/>
              </w:rPr>
              <w:t>294.53</w:t>
            </w:r>
          </w:p>
        </w:tc>
        <w:tc>
          <w:tcPr>
            <w:tcW w:w="1262" w:type="dxa"/>
            <w:shd w:val="clear" w:color="auto" w:fill="auto"/>
            <w:vAlign w:val="center"/>
          </w:tcPr>
          <w:p>
            <w:pPr>
              <w:spacing w:line="360" w:lineRule="auto"/>
              <w:jc w:val="center"/>
              <w:rPr>
                <w:rFonts w:ascii="Times New Roman" w:hAnsi="Times New Roman" w:eastAsia="宋体" w:cs="Times New Roman"/>
                <w:color w:val="000000" w:themeColor="text1"/>
                <w:sz w:val="23"/>
                <w:szCs w:val="23"/>
              </w:rPr>
            </w:pPr>
            <w:r>
              <w:rPr>
                <w:rFonts w:hint="eastAsia" w:ascii="Times New Roman" w:hAnsi="Times New Roman" w:eastAsia="宋体" w:cs="Times New Roman"/>
                <w:color w:val="000000" w:themeColor="text1"/>
                <w:sz w:val="23"/>
                <w:szCs w:val="23"/>
              </w:rPr>
              <w:t>16.44</w:t>
            </w:r>
          </w:p>
        </w:tc>
        <w:tc>
          <w:tcPr>
            <w:tcW w:w="1236" w:type="dxa"/>
            <w:shd w:val="clear" w:color="auto" w:fill="auto"/>
            <w:vAlign w:val="center"/>
          </w:tcPr>
          <w:p>
            <w:pPr>
              <w:spacing w:line="360" w:lineRule="auto"/>
              <w:jc w:val="center"/>
              <w:rPr>
                <w:rFonts w:ascii="Times New Roman" w:hAnsi="Times New Roman" w:eastAsia="宋体" w:cs="Times New Roman"/>
                <w:color w:val="000000" w:themeColor="text1"/>
                <w:sz w:val="23"/>
                <w:szCs w:val="23"/>
              </w:rPr>
            </w:pPr>
            <w:r>
              <w:rPr>
                <w:rFonts w:hint="eastAsia" w:ascii="Times New Roman" w:hAnsi="Times New Roman" w:eastAsia="宋体" w:cs="Times New Roman"/>
                <w:color w:val="000000" w:themeColor="text1"/>
                <w:sz w:val="23"/>
                <w:szCs w:val="23"/>
              </w:rPr>
              <w:t>187.31</w:t>
            </w:r>
          </w:p>
        </w:tc>
        <w:tc>
          <w:tcPr>
            <w:tcW w:w="1194" w:type="dxa"/>
            <w:shd w:val="clear" w:color="auto" w:fill="auto"/>
            <w:vAlign w:val="center"/>
          </w:tcPr>
          <w:p>
            <w:pPr>
              <w:spacing w:line="360" w:lineRule="auto"/>
              <w:jc w:val="center"/>
              <w:rPr>
                <w:rFonts w:ascii="Times New Roman" w:hAnsi="Times New Roman" w:eastAsia="宋体" w:cs="Times New Roman"/>
                <w:color w:val="000000" w:themeColor="text1"/>
                <w:sz w:val="23"/>
                <w:szCs w:val="23"/>
              </w:rPr>
            </w:pPr>
            <w:r>
              <w:rPr>
                <w:rFonts w:hint="eastAsia" w:ascii="Times New Roman" w:hAnsi="Times New Roman" w:eastAsia="宋体" w:cs="Times New Roman"/>
                <w:color w:val="000000" w:themeColor="text1"/>
                <w:sz w:val="23"/>
                <w:szCs w:val="23"/>
              </w:rPr>
              <w:t>72.43</w:t>
            </w:r>
          </w:p>
        </w:tc>
        <w:tc>
          <w:tcPr>
            <w:tcW w:w="1194" w:type="dxa"/>
            <w:shd w:val="clear" w:color="auto" w:fill="auto"/>
          </w:tcPr>
          <w:p>
            <w:pPr>
              <w:spacing w:line="360" w:lineRule="auto"/>
              <w:jc w:val="center"/>
              <w:rPr>
                <w:rFonts w:ascii="Times New Roman" w:hAnsi="Times New Roman" w:eastAsia="宋体" w:cs="Times New Roman"/>
                <w:color w:val="000000" w:themeColor="text1"/>
                <w:sz w:val="23"/>
                <w:szCs w:val="23"/>
              </w:rPr>
            </w:pPr>
            <w:r>
              <w:rPr>
                <w:rFonts w:hint="eastAsia" w:ascii="Times New Roman" w:hAnsi="Times New Roman" w:eastAsia="宋体" w:cs="Times New Roman"/>
                <w:color w:val="000000" w:themeColor="text1"/>
                <w:sz w:val="23"/>
                <w:szCs w:val="23"/>
              </w:rPr>
              <w:t>18.35</w:t>
            </w:r>
          </w:p>
        </w:tc>
      </w:tr>
    </w:tbl>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上述对公司财务状况和经营成果的影响仅为测算数据，最终应以会计师事务所出具的年度审计报告为准。本次限制性股票激励成本</w:t>
      </w:r>
      <w:r>
        <w:rPr>
          <w:rFonts w:hint="eastAsia" w:ascii="Times New Roman" w:hAnsi="Times New Roman" w:eastAsia="宋体" w:cs="Times New Roman"/>
          <w:sz w:val="24"/>
          <w:szCs w:val="24"/>
        </w:rPr>
        <w:t>对公司最近一期财务状况和经营成果均不构成重大影响。</w:t>
      </w:r>
    </w:p>
    <w:p>
      <w:pPr>
        <w:pStyle w:val="8"/>
        <w:spacing w:line="360" w:lineRule="auto"/>
        <w:ind w:firstLine="482" w:firstLineChars="200"/>
        <w:jc w:val="left"/>
        <w:rPr>
          <w:sz w:val="24"/>
          <w:szCs w:val="24"/>
        </w:rPr>
      </w:pPr>
      <w:r>
        <w:rPr>
          <w:rFonts w:hint="eastAsia"/>
          <w:sz w:val="24"/>
          <w:szCs w:val="24"/>
        </w:rPr>
        <w:t>九、</w:t>
      </w:r>
      <w:r>
        <w:rPr>
          <w:sz w:val="24"/>
          <w:szCs w:val="24"/>
        </w:rPr>
        <w:t>备查文件</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、中证登上海分公司出具的《证券变更登记证明》。</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hint="eastAsia" w:ascii="宋体" w:hAnsi="宋体"/>
          <w:sz w:val="24"/>
          <w:szCs w:val="24"/>
        </w:rPr>
        <w:t>立信会计师事务所（特殊普通合伙）《浙江伟明环保股份有限公司</w:t>
      </w:r>
      <w:r>
        <w:rPr>
          <w:rFonts w:hint="eastAsia" w:ascii="Times New Roman" w:hAnsi="Times New Roman" w:eastAsia="宋体" w:cs="Times New Roman"/>
          <w:sz w:val="24"/>
          <w:szCs w:val="24"/>
        </w:rPr>
        <w:t>验资报告》（信会师报字[2017]第</w:t>
      </w:r>
      <w:r>
        <w:rPr>
          <w:rFonts w:hint="eastAsia" w:ascii="Times New Roman" w:hAnsi="Times New Roman" w:cs="Times New Roman"/>
          <w:sz w:val="24"/>
          <w:szCs w:val="24"/>
        </w:rPr>
        <w:t>ZF10964</w:t>
      </w:r>
      <w:r>
        <w:rPr>
          <w:rFonts w:hint="eastAsia" w:ascii="Times New Roman" w:hAnsi="Times New Roman" w:eastAsia="宋体" w:cs="Times New Roman"/>
          <w:sz w:val="24"/>
          <w:szCs w:val="24"/>
        </w:rPr>
        <w:t>号）。</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特此公告。</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浙江伟明环保股份有限公司董事会</w:t>
      </w:r>
    </w:p>
    <w:p>
      <w:pPr>
        <w:spacing w:line="360" w:lineRule="auto"/>
        <w:ind w:firstLine="480" w:firstLineChars="200"/>
        <w:jc w:val="right"/>
        <w:rPr>
          <w:rFonts w:ascii="Times New Roman" w:hAnsi="Calibri" w:eastAsia="宋体" w:cs="Times New Roman"/>
          <w:sz w:val="24"/>
          <w:szCs w:val="24"/>
        </w:rPr>
      </w:pPr>
      <w:r>
        <w:rPr>
          <w:rFonts w:ascii="Times New Roman" w:hAnsi="Times New Roman" w:eastAsia="宋体" w:cs="Times New Roman"/>
          <w:sz w:val="24"/>
          <w:szCs w:val="24"/>
        </w:rPr>
        <w:t>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538"/>
    <w:multiLevelType w:val="multilevel"/>
    <w:tmpl w:val="2EE5553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782"/>
    <w:rsid w:val="00001348"/>
    <w:rsid w:val="00001DDC"/>
    <w:rsid w:val="000073DE"/>
    <w:rsid w:val="00007447"/>
    <w:rsid w:val="00020197"/>
    <w:rsid w:val="00021969"/>
    <w:rsid w:val="00023BA7"/>
    <w:rsid w:val="00030FD8"/>
    <w:rsid w:val="00031B95"/>
    <w:rsid w:val="000327B2"/>
    <w:rsid w:val="000352D7"/>
    <w:rsid w:val="00035F28"/>
    <w:rsid w:val="000410EB"/>
    <w:rsid w:val="0004323C"/>
    <w:rsid w:val="00044FD2"/>
    <w:rsid w:val="0005046C"/>
    <w:rsid w:val="00062D08"/>
    <w:rsid w:val="00063D52"/>
    <w:rsid w:val="00066E51"/>
    <w:rsid w:val="00067B77"/>
    <w:rsid w:val="0007757D"/>
    <w:rsid w:val="00077768"/>
    <w:rsid w:val="000931CA"/>
    <w:rsid w:val="00095A1D"/>
    <w:rsid w:val="000A2987"/>
    <w:rsid w:val="000B0880"/>
    <w:rsid w:val="000B3E6A"/>
    <w:rsid w:val="000B75A3"/>
    <w:rsid w:val="000C5250"/>
    <w:rsid w:val="000D7156"/>
    <w:rsid w:val="000E00E6"/>
    <w:rsid w:val="000E48D7"/>
    <w:rsid w:val="000F3B82"/>
    <w:rsid w:val="000F50C7"/>
    <w:rsid w:val="00104063"/>
    <w:rsid w:val="00112B55"/>
    <w:rsid w:val="00122D9F"/>
    <w:rsid w:val="00127EFA"/>
    <w:rsid w:val="001306B1"/>
    <w:rsid w:val="001504F8"/>
    <w:rsid w:val="001512DF"/>
    <w:rsid w:val="00163E64"/>
    <w:rsid w:val="00172A27"/>
    <w:rsid w:val="00173C5D"/>
    <w:rsid w:val="00175760"/>
    <w:rsid w:val="001812C6"/>
    <w:rsid w:val="001827D0"/>
    <w:rsid w:val="001830CB"/>
    <w:rsid w:val="00190843"/>
    <w:rsid w:val="00190DD5"/>
    <w:rsid w:val="00195878"/>
    <w:rsid w:val="001B6239"/>
    <w:rsid w:val="001D179C"/>
    <w:rsid w:val="001D204E"/>
    <w:rsid w:val="001F1C15"/>
    <w:rsid w:val="001F5347"/>
    <w:rsid w:val="002022AC"/>
    <w:rsid w:val="00203534"/>
    <w:rsid w:val="0020404B"/>
    <w:rsid w:val="0020496D"/>
    <w:rsid w:val="00211FA8"/>
    <w:rsid w:val="00220BA6"/>
    <w:rsid w:val="002223C5"/>
    <w:rsid w:val="0023172D"/>
    <w:rsid w:val="00233F17"/>
    <w:rsid w:val="0024606A"/>
    <w:rsid w:val="002500B8"/>
    <w:rsid w:val="0025300D"/>
    <w:rsid w:val="00271E4E"/>
    <w:rsid w:val="0027601B"/>
    <w:rsid w:val="002768DA"/>
    <w:rsid w:val="002979D4"/>
    <w:rsid w:val="002A0E6B"/>
    <w:rsid w:val="002B1B5E"/>
    <w:rsid w:val="002B262B"/>
    <w:rsid w:val="002C376D"/>
    <w:rsid w:val="002D06C0"/>
    <w:rsid w:val="002D20DF"/>
    <w:rsid w:val="002D4A57"/>
    <w:rsid w:val="002E7C07"/>
    <w:rsid w:val="00305C28"/>
    <w:rsid w:val="003105BA"/>
    <w:rsid w:val="00332F7F"/>
    <w:rsid w:val="00341FD2"/>
    <w:rsid w:val="00382C59"/>
    <w:rsid w:val="00396252"/>
    <w:rsid w:val="003A2AFF"/>
    <w:rsid w:val="003A2BF0"/>
    <w:rsid w:val="003A2E68"/>
    <w:rsid w:val="003A36C8"/>
    <w:rsid w:val="003A4C0E"/>
    <w:rsid w:val="003B75D1"/>
    <w:rsid w:val="003C36B1"/>
    <w:rsid w:val="003C3869"/>
    <w:rsid w:val="003D3AA5"/>
    <w:rsid w:val="003D3E5A"/>
    <w:rsid w:val="003E3580"/>
    <w:rsid w:val="003F1D89"/>
    <w:rsid w:val="003F44D3"/>
    <w:rsid w:val="0040219B"/>
    <w:rsid w:val="00404142"/>
    <w:rsid w:val="00404C8E"/>
    <w:rsid w:val="004100BB"/>
    <w:rsid w:val="004103B4"/>
    <w:rsid w:val="004132A2"/>
    <w:rsid w:val="0042704E"/>
    <w:rsid w:val="0043139C"/>
    <w:rsid w:val="004346BF"/>
    <w:rsid w:val="00434990"/>
    <w:rsid w:val="00436C9F"/>
    <w:rsid w:val="004411A1"/>
    <w:rsid w:val="00446174"/>
    <w:rsid w:val="004554AE"/>
    <w:rsid w:val="00456F3A"/>
    <w:rsid w:val="00474024"/>
    <w:rsid w:val="00483A81"/>
    <w:rsid w:val="0048491E"/>
    <w:rsid w:val="00497708"/>
    <w:rsid w:val="004B65CE"/>
    <w:rsid w:val="004B6D1A"/>
    <w:rsid w:val="004D035D"/>
    <w:rsid w:val="004D33BD"/>
    <w:rsid w:val="004D70CD"/>
    <w:rsid w:val="00521544"/>
    <w:rsid w:val="005231A6"/>
    <w:rsid w:val="005248AC"/>
    <w:rsid w:val="00540220"/>
    <w:rsid w:val="00545B1C"/>
    <w:rsid w:val="00546F3E"/>
    <w:rsid w:val="00552B1F"/>
    <w:rsid w:val="00560465"/>
    <w:rsid w:val="00570629"/>
    <w:rsid w:val="00576CED"/>
    <w:rsid w:val="00583BFB"/>
    <w:rsid w:val="00586CDF"/>
    <w:rsid w:val="00593B54"/>
    <w:rsid w:val="00594525"/>
    <w:rsid w:val="00597885"/>
    <w:rsid w:val="005A45D7"/>
    <w:rsid w:val="005B2300"/>
    <w:rsid w:val="005B374F"/>
    <w:rsid w:val="005B759D"/>
    <w:rsid w:val="005C1D90"/>
    <w:rsid w:val="005C24A6"/>
    <w:rsid w:val="005C2708"/>
    <w:rsid w:val="005C3CAC"/>
    <w:rsid w:val="005D2361"/>
    <w:rsid w:val="005E0D1B"/>
    <w:rsid w:val="005E797C"/>
    <w:rsid w:val="005E7A2F"/>
    <w:rsid w:val="006053FD"/>
    <w:rsid w:val="00606E33"/>
    <w:rsid w:val="00620B59"/>
    <w:rsid w:val="00623B95"/>
    <w:rsid w:val="00627942"/>
    <w:rsid w:val="00633F18"/>
    <w:rsid w:val="00635A6F"/>
    <w:rsid w:val="006376AD"/>
    <w:rsid w:val="00643E04"/>
    <w:rsid w:val="006609FA"/>
    <w:rsid w:val="00664618"/>
    <w:rsid w:val="00676E82"/>
    <w:rsid w:val="00682C74"/>
    <w:rsid w:val="006844A9"/>
    <w:rsid w:val="0068622C"/>
    <w:rsid w:val="00696825"/>
    <w:rsid w:val="006A0DD3"/>
    <w:rsid w:val="006A1987"/>
    <w:rsid w:val="006A1B4D"/>
    <w:rsid w:val="006A57D2"/>
    <w:rsid w:val="006B3940"/>
    <w:rsid w:val="006C407B"/>
    <w:rsid w:val="006C4312"/>
    <w:rsid w:val="006C59B0"/>
    <w:rsid w:val="006C7D4A"/>
    <w:rsid w:val="006D0ABE"/>
    <w:rsid w:val="006D1BB5"/>
    <w:rsid w:val="006D5690"/>
    <w:rsid w:val="006E4B2E"/>
    <w:rsid w:val="006E5F37"/>
    <w:rsid w:val="006E7CB3"/>
    <w:rsid w:val="007025D4"/>
    <w:rsid w:val="00706804"/>
    <w:rsid w:val="00730E2D"/>
    <w:rsid w:val="007356CD"/>
    <w:rsid w:val="00735AF0"/>
    <w:rsid w:val="00746F6D"/>
    <w:rsid w:val="00755E46"/>
    <w:rsid w:val="00762256"/>
    <w:rsid w:val="007628CA"/>
    <w:rsid w:val="00772E31"/>
    <w:rsid w:val="00775B8A"/>
    <w:rsid w:val="00780E08"/>
    <w:rsid w:val="007837F8"/>
    <w:rsid w:val="00790704"/>
    <w:rsid w:val="007A2807"/>
    <w:rsid w:val="007A2B22"/>
    <w:rsid w:val="007A5B57"/>
    <w:rsid w:val="007A6344"/>
    <w:rsid w:val="007B4256"/>
    <w:rsid w:val="007B5BDE"/>
    <w:rsid w:val="007C2B51"/>
    <w:rsid w:val="007E18B4"/>
    <w:rsid w:val="007E34C0"/>
    <w:rsid w:val="007E3512"/>
    <w:rsid w:val="007F551C"/>
    <w:rsid w:val="0080296C"/>
    <w:rsid w:val="0082013E"/>
    <w:rsid w:val="00826199"/>
    <w:rsid w:val="00837385"/>
    <w:rsid w:val="00865898"/>
    <w:rsid w:val="00872B33"/>
    <w:rsid w:val="00876CD3"/>
    <w:rsid w:val="00881881"/>
    <w:rsid w:val="00882C46"/>
    <w:rsid w:val="008A586B"/>
    <w:rsid w:val="008B3DA0"/>
    <w:rsid w:val="008B5973"/>
    <w:rsid w:val="008B6FE1"/>
    <w:rsid w:val="008C00BA"/>
    <w:rsid w:val="008C00D4"/>
    <w:rsid w:val="008C7194"/>
    <w:rsid w:val="008D45E4"/>
    <w:rsid w:val="008D57E6"/>
    <w:rsid w:val="008E650C"/>
    <w:rsid w:val="008E6E4A"/>
    <w:rsid w:val="008F27D7"/>
    <w:rsid w:val="008F2F15"/>
    <w:rsid w:val="008F605C"/>
    <w:rsid w:val="00914988"/>
    <w:rsid w:val="0091510B"/>
    <w:rsid w:val="0091766D"/>
    <w:rsid w:val="00924F1E"/>
    <w:rsid w:val="009351BE"/>
    <w:rsid w:val="00950916"/>
    <w:rsid w:val="00953D01"/>
    <w:rsid w:val="009615D4"/>
    <w:rsid w:val="00962DB1"/>
    <w:rsid w:val="009634D4"/>
    <w:rsid w:val="009655EF"/>
    <w:rsid w:val="009667D7"/>
    <w:rsid w:val="0097335B"/>
    <w:rsid w:val="00976BA2"/>
    <w:rsid w:val="00977B5A"/>
    <w:rsid w:val="009805C0"/>
    <w:rsid w:val="009B30A7"/>
    <w:rsid w:val="009C699D"/>
    <w:rsid w:val="009D29C9"/>
    <w:rsid w:val="009D3881"/>
    <w:rsid w:val="009D5391"/>
    <w:rsid w:val="009E1F24"/>
    <w:rsid w:val="009E6415"/>
    <w:rsid w:val="009E6690"/>
    <w:rsid w:val="009E7640"/>
    <w:rsid w:val="009F2D3D"/>
    <w:rsid w:val="00A01C96"/>
    <w:rsid w:val="00A0461C"/>
    <w:rsid w:val="00A05C1F"/>
    <w:rsid w:val="00A10569"/>
    <w:rsid w:val="00A13AC3"/>
    <w:rsid w:val="00A16E8A"/>
    <w:rsid w:val="00A34A99"/>
    <w:rsid w:val="00A35FD4"/>
    <w:rsid w:val="00A42F42"/>
    <w:rsid w:val="00A430E0"/>
    <w:rsid w:val="00A45CA3"/>
    <w:rsid w:val="00A47025"/>
    <w:rsid w:val="00A50B17"/>
    <w:rsid w:val="00A50BAD"/>
    <w:rsid w:val="00A61FA9"/>
    <w:rsid w:val="00A638A9"/>
    <w:rsid w:val="00A663CB"/>
    <w:rsid w:val="00A70912"/>
    <w:rsid w:val="00A803D7"/>
    <w:rsid w:val="00A82667"/>
    <w:rsid w:val="00A9046C"/>
    <w:rsid w:val="00A935F1"/>
    <w:rsid w:val="00AB540E"/>
    <w:rsid w:val="00AB6962"/>
    <w:rsid w:val="00AD28BB"/>
    <w:rsid w:val="00B04C25"/>
    <w:rsid w:val="00B116F2"/>
    <w:rsid w:val="00B20BB8"/>
    <w:rsid w:val="00B24420"/>
    <w:rsid w:val="00B24CA5"/>
    <w:rsid w:val="00B37C87"/>
    <w:rsid w:val="00B42D76"/>
    <w:rsid w:val="00B4309B"/>
    <w:rsid w:val="00B46547"/>
    <w:rsid w:val="00B51DA7"/>
    <w:rsid w:val="00B63060"/>
    <w:rsid w:val="00B65BC8"/>
    <w:rsid w:val="00B67F3B"/>
    <w:rsid w:val="00BB0745"/>
    <w:rsid w:val="00BE0D1C"/>
    <w:rsid w:val="00BF033F"/>
    <w:rsid w:val="00C04AD0"/>
    <w:rsid w:val="00C04E05"/>
    <w:rsid w:val="00C1277A"/>
    <w:rsid w:val="00C15ACB"/>
    <w:rsid w:val="00C1701C"/>
    <w:rsid w:val="00C20F77"/>
    <w:rsid w:val="00C21BCB"/>
    <w:rsid w:val="00C2379A"/>
    <w:rsid w:val="00C32169"/>
    <w:rsid w:val="00C328A0"/>
    <w:rsid w:val="00C36B94"/>
    <w:rsid w:val="00C42BFC"/>
    <w:rsid w:val="00C477D1"/>
    <w:rsid w:val="00C501D3"/>
    <w:rsid w:val="00C56FD7"/>
    <w:rsid w:val="00C71137"/>
    <w:rsid w:val="00C742A3"/>
    <w:rsid w:val="00C90DD2"/>
    <w:rsid w:val="00C96FDD"/>
    <w:rsid w:val="00CA1C43"/>
    <w:rsid w:val="00CA402C"/>
    <w:rsid w:val="00CA7CEC"/>
    <w:rsid w:val="00CF0E9A"/>
    <w:rsid w:val="00D00899"/>
    <w:rsid w:val="00D05449"/>
    <w:rsid w:val="00D102C0"/>
    <w:rsid w:val="00D13223"/>
    <w:rsid w:val="00D1717A"/>
    <w:rsid w:val="00D276E4"/>
    <w:rsid w:val="00D46F59"/>
    <w:rsid w:val="00D5165E"/>
    <w:rsid w:val="00D64088"/>
    <w:rsid w:val="00D74E18"/>
    <w:rsid w:val="00D824FF"/>
    <w:rsid w:val="00DA128D"/>
    <w:rsid w:val="00DA63BC"/>
    <w:rsid w:val="00DA6DFB"/>
    <w:rsid w:val="00DA7330"/>
    <w:rsid w:val="00DB2967"/>
    <w:rsid w:val="00DB4408"/>
    <w:rsid w:val="00DB718C"/>
    <w:rsid w:val="00DB73D6"/>
    <w:rsid w:val="00DB78DC"/>
    <w:rsid w:val="00DC204B"/>
    <w:rsid w:val="00DC5011"/>
    <w:rsid w:val="00DC584E"/>
    <w:rsid w:val="00DD49E2"/>
    <w:rsid w:val="00DE404B"/>
    <w:rsid w:val="00DE43A0"/>
    <w:rsid w:val="00DF5FE8"/>
    <w:rsid w:val="00E11102"/>
    <w:rsid w:val="00E209C0"/>
    <w:rsid w:val="00E25ADB"/>
    <w:rsid w:val="00E4122B"/>
    <w:rsid w:val="00E5328F"/>
    <w:rsid w:val="00E53B85"/>
    <w:rsid w:val="00E60BD3"/>
    <w:rsid w:val="00E60F4A"/>
    <w:rsid w:val="00E735C3"/>
    <w:rsid w:val="00E7498D"/>
    <w:rsid w:val="00E80C40"/>
    <w:rsid w:val="00E86352"/>
    <w:rsid w:val="00E87DA2"/>
    <w:rsid w:val="00E96916"/>
    <w:rsid w:val="00EA2DD0"/>
    <w:rsid w:val="00EA35AF"/>
    <w:rsid w:val="00EA4869"/>
    <w:rsid w:val="00EC0691"/>
    <w:rsid w:val="00EC23EE"/>
    <w:rsid w:val="00ED4532"/>
    <w:rsid w:val="00EE193E"/>
    <w:rsid w:val="00EE4777"/>
    <w:rsid w:val="00EE5E5E"/>
    <w:rsid w:val="00EF46ED"/>
    <w:rsid w:val="00F0173C"/>
    <w:rsid w:val="00F04A63"/>
    <w:rsid w:val="00F05ADA"/>
    <w:rsid w:val="00F179B6"/>
    <w:rsid w:val="00F27B05"/>
    <w:rsid w:val="00F314B7"/>
    <w:rsid w:val="00F330B5"/>
    <w:rsid w:val="00F35066"/>
    <w:rsid w:val="00F3762A"/>
    <w:rsid w:val="00F40CC5"/>
    <w:rsid w:val="00F57C3B"/>
    <w:rsid w:val="00F61A24"/>
    <w:rsid w:val="00F63BDC"/>
    <w:rsid w:val="00F6417B"/>
    <w:rsid w:val="00F651F4"/>
    <w:rsid w:val="00F67E62"/>
    <w:rsid w:val="00F70A2E"/>
    <w:rsid w:val="00F760B4"/>
    <w:rsid w:val="00F8090C"/>
    <w:rsid w:val="00FA2F16"/>
    <w:rsid w:val="00FA5104"/>
    <w:rsid w:val="00FA6232"/>
    <w:rsid w:val="00FB1E14"/>
    <w:rsid w:val="00FB40BA"/>
    <w:rsid w:val="00FB6A55"/>
    <w:rsid w:val="00FE4F75"/>
    <w:rsid w:val="00FF2A71"/>
    <w:rsid w:val="00FF4671"/>
    <w:rsid w:val="01594EB4"/>
    <w:rsid w:val="03B66968"/>
    <w:rsid w:val="04645A90"/>
    <w:rsid w:val="051863D5"/>
    <w:rsid w:val="05B93E5D"/>
    <w:rsid w:val="09C01119"/>
    <w:rsid w:val="0A0B6CEF"/>
    <w:rsid w:val="0A26485A"/>
    <w:rsid w:val="0B656DB0"/>
    <w:rsid w:val="0D663088"/>
    <w:rsid w:val="0E426346"/>
    <w:rsid w:val="0F950B77"/>
    <w:rsid w:val="10E74A3A"/>
    <w:rsid w:val="111A41B8"/>
    <w:rsid w:val="13E70B71"/>
    <w:rsid w:val="14503574"/>
    <w:rsid w:val="14FC6645"/>
    <w:rsid w:val="165D1D43"/>
    <w:rsid w:val="1739428A"/>
    <w:rsid w:val="19C029B1"/>
    <w:rsid w:val="19D73BD8"/>
    <w:rsid w:val="1CCC2333"/>
    <w:rsid w:val="1E882D00"/>
    <w:rsid w:val="20674BC2"/>
    <w:rsid w:val="22692894"/>
    <w:rsid w:val="226B0C7F"/>
    <w:rsid w:val="22B04F51"/>
    <w:rsid w:val="23B05C9A"/>
    <w:rsid w:val="25ED32CA"/>
    <w:rsid w:val="260446C8"/>
    <w:rsid w:val="26914B86"/>
    <w:rsid w:val="27ED2F8B"/>
    <w:rsid w:val="28114CD5"/>
    <w:rsid w:val="28325E7F"/>
    <w:rsid w:val="2AD12DDD"/>
    <w:rsid w:val="2C193A04"/>
    <w:rsid w:val="2C9E1D7D"/>
    <w:rsid w:val="2EAF709C"/>
    <w:rsid w:val="2F2063CE"/>
    <w:rsid w:val="2F5D472D"/>
    <w:rsid w:val="2F93094F"/>
    <w:rsid w:val="2FEF32FF"/>
    <w:rsid w:val="343C1A30"/>
    <w:rsid w:val="344701DE"/>
    <w:rsid w:val="35D61E18"/>
    <w:rsid w:val="36501BA0"/>
    <w:rsid w:val="36F33349"/>
    <w:rsid w:val="39512422"/>
    <w:rsid w:val="3AAD39E7"/>
    <w:rsid w:val="3AB400D4"/>
    <w:rsid w:val="3E203ABE"/>
    <w:rsid w:val="3F851ED4"/>
    <w:rsid w:val="41075C85"/>
    <w:rsid w:val="41506DBD"/>
    <w:rsid w:val="41BB0ED5"/>
    <w:rsid w:val="44847797"/>
    <w:rsid w:val="455F7DDE"/>
    <w:rsid w:val="464F21E1"/>
    <w:rsid w:val="4673413E"/>
    <w:rsid w:val="46E45696"/>
    <w:rsid w:val="48973F2E"/>
    <w:rsid w:val="490E26CE"/>
    <w:rsid w:val="49847E16"/>
    <w:rsid w:val="49CA1D93"/>
    <w:rsid w:val="4BD0796E"/>
    <w:rsid w:val="4D1E51E3"/>
    <w:rsid w:val="4D391C2A"/>
    <w:rsid w:val="502D4530"/>
    <w:rsid w:val="50EF6A2F"/>
    <w:rsid w:val="50F6179E"/>
    <w:rsid w:val="51851BA4"/>
    <w:rsid w:val="53EE39F1"/>
    <w:rsid w:val="54656252"/>
    <w:rsid w:val="55FD6B3C"/>
    <w:rsid w:val="57E62FA1"/>
    <w:rsid w:val="58C611F5"/>
    <w:rsid w:val="5CBA54CB"/>
    <w:rsid w:val="5D05177E"/>
    <w:rsid w:val="5D4308A9"/>
    <w:rsid w:val="62835FA8"/>
    <w:rsid w:val="62894060"/>
    <w:rsid w:val="657E612A"/>
    <w:rsid w:val="67156F7C"/>
    <w:rsid w:val="676070A6"/>
    <w:rsid w:val="67C01069"/>
    <w:rsid w:val="67EE54AC"/>
    <w:rsid w:val="680B4EB8"/>
    <w:rsid w:val="69054C3F"/>
    <w:rsid w:val="69593CA1"/>
    <w:rsid w:val="6ACE53CD"/>
    <w:rsid w:val="6B4404A6"/>
    <w:rsid w:val="6C19409A"/>
    <w:rsid w:val="6E8D5FA6"/>
    <w:rsid w:val="6EE658D2"/>
    <w:rsid w:val="717E0A63"/>
    <w:rsid w:val="72894B22"/>
    <w:rsid w:val="73376551"/>
    <w:rsid w:val="73DD1EC7"/>
    <w:rsid w:val="757F32D1"/>
    <w:rsid w:val="75ED64C3"/>
    <w:rsid w:val="76DF148F"/>
    <w:rsid w:val="780F6693"/>
    <w:rsid w:val="79411E50"/>
    <w:rsid w:val="79780EC6"/>
    <w:rsid w:val="7A0B2D06"/>
    <w:rsid w:val="7C0A1BDA"/>
    <w:rsid w:val="7D0130DD"/>
    <w:rsid w:val="7D6E1D63"/>
    <w:rsid w:val="7DEA499E"/>
    <w:rsid w:val="7E4B005C"/>
    <w:rsid w:val="7E611A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unhideWhenUsed/>
    <w:qFormat/>
    <w:uiPriority w:val="99"/>
    <w:rPr>
      <w:b/>
      <w:bCs/>
    </w:rPr>
  </w:style>
  <w:style w:type="paragraph" w:styleId="3">
    <w:name w:val="annotation text"/>
    <w:basedOn w:val="1"/>
    <w:link w:val="23"/>
    <w:unhideWhenUsed/>
    <w:qFormat/>
    <w:uiPriority w:val="99"/>
    <w:pPr>
      <w:jc w:val="left"/>
    </w:pPr>
  </w:style>
  <w:style w:type="paragraph" w:styleId="4">
    <w:name w:val="Body Text"/>
    <w:basedOn w:val="1"/>
    <w:link w:val="21"/>
    <w:qFormat/>
    <w:uiPriority w:val="0"/>
    <w:pPr>
      <w:spacing w:after="120"/>
    </w:pPr>
    <w:rPr>
      <w:rFonts w:ascii="Times New Roman" w:hAnsi="Times New Roman" w:eastAsia="宋体" w:cs="Times New Roman"/>
      <w:szCs w:val="24"/>
      <w:lang w:val="zh-CN"/>
    </w:r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character" w:styleId="10">
    <w:name w:val="Emphasis"/>
    <w:basedOn w:val="9"/>
    <w:qFormat/>
    <w:uiPriority w:val="20"/>
    <w:rPr>
      <w:i/>
      <w:iCs/>
    </w:rPr>
  </w:style>
  <w:style w:type="character" w:styleId="11">
    <w:name w:val="Hyperlink"/>
    <w:basedOn w:val="9"/>
    <w:unhideWhenUsed/>
    <w:qFormat/>
    <w:uiPriority w:val="99"/>
    <w:rPr>
      <w:color w:val="0000FF" w:themeColor="hyperlink"/>
      <w:u w:val="single"/>
    </w:rPr>
  </w:style>
  <w:style w:type="character" w:styleId="12">
    <w:name w:val="annotation reference"/>
    <w:basedOn w:val="9"/>
    <w:unhideWhenUsed/>
    <w:qFormat/>
    <w:uiPriority w:val="99"/>
    <w:rPr>
      <w:sz w:val="21"/>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字符"/>
    <w:basedOn w:val="9"/>
    <w:link w:val="8"/>
    <w:qFormat/>
    <w:uiPriority w:val="10"/>
    <w:rPr>
      <w:rFonts w:asciiTheme="majorHAnsi" w:hAnsiTheme="majorHAnsi" w:cstheme="majorBidi"/>
      <w:b/>
      <w:bCs/>
      <w:kern w:val="2"/>
      <w:sz w:val="32"/>
      <w:szCs w:val="32"/>
    </w:rPr>
  </w:style>
  <w:style w:type="character" w:customStyle="1" w:styleId="16">
    <w:name w:val="页眉 字符"/>
    <w:basedOn w:val="9"/>
    <w:link w:val="7"/>
    <w:qFormat/>
    <w:uiPriority w:val="99"/>
    <w:rPr>
      <w:sz w:val="18"/>
      <w:szCs w:val="18"/>
    </w:rPr>
  </w:style>
  <w:style w:type="character" w:customStyle="1" w:styleId="17">
    <w:name w:val="页脚 字符"/>
    <w:basedOn w:val="9"/>
    <w:link w:val="6"/>
    <w:qFormat/>
    <w:uiPriority w:val="99"/>
    <w:rPr>
      <w:sz w:val="18"/>
      <w:szCs w:val="18"/>
    </w:rPr>
  </w:style>
  <w:style w:type="character" w:customStyle="1" w:styleId="18">
    <w:name w:val="批注框文本 字符"/>
    <w:basedOn w:val="9"/>
    <w:link w:val="5"/>
    <w:semiHidden/>
    <w:qFormat/>
    <w:uiPriority w:val="99"/>
    <w:rPr>
      <w:sz w:val="18"/>
      <w:szCs w:val="18"/>
    </w:rPr>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0">
    <w:name w:val="列出段落1"/>
    <w:basedOn w:val="1"/>
    <w:qFormat/>
    <w:uiPriority w:val="99"/>
    <w:pPr>
      <w:ind w:firstLine="420" w:firstLineChars="200"/>
    </w:pPr>
  </w:style>
  <w:style w:type="character" w:customStyle="1" w:styleId="21">
    <w:name w:val="正文文本 字符"/>
    <w:basedOn w:val="9"/>
    <w:link w:val="4"/>
    <w:qFormat/>
    <w:uiPriority w:val="0"/>
    <w:rPr>
      <w:kern w:val="2"/>
      <w:sz w:val="21"/>
      <w:szCs w:val="24"/>
      <w:lang w:val="zh-CN" w:eastAsia="zh-CN"/>
    </w:rPr>
  </w:style>
  <w:style w:type="character" w:customStyle="1" w:styleId="22">
    <w:name w:val="不明显强调1"/>
    <w:basedOn w:val="9"/>
    <w:qFormat/>
    <w:uiPriority w:val="19"/>
    <w:rPr>
      <w:i/>
      <w:iCs/>
      <w:color w:val="7E7E7E" w:themeColor="text1" w:themeTint="80"/>
    </w:rPr>
  </w:style>
  <w:style w:type="character" w:customStyle="1" w:styleId="23">
    <w:name w:val="批注文字 字符"/>
    <w:basedOn w:val="9"/>
    <w:link w:val="3"/>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2"/>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8282B-64A6-4D4E-A6FB-5DB22DDC1C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418</Words>
  <Characters>2385</Characters>
  <Lines>19</Lines>
  <Paragraphs>5</Paragraphs>
  <ScaleCrop>false</ScaleCrop>
  <LinksUpToDate>false</LinksUpToDate>
  <CharactersWithSpaces>2798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2017-03-14T07:16:00Z</dcterms:created>
  <dc:creator>apple</dc:creator>
  <cp:lastModifiedBy>admin</cp:lastModifiedBy>
  <dcterms:modified xsi:type="dcterms:W3CDTF">2018-01-10T09:23:05Z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